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98625dfwp.htm"/>
      <w:bookmarkStart w:id="1" w:name="ksd98625dfwp"/>
      <w:bookmarkStart w:id="2" w:name="d98625dfwp.htm"/>
      <w:bookmarkStart w:id="3" w:name="ksd98625dfwp"/>
      <w:bookmarkEnd w:id="2"/>
      <w:bookmarkEnd w:id="3"/>
    </w:p>
    <w:tbl>
      <w:tblPr>
        <w:tblW w:w="5000" w:type="pct"/>
        <w:jc w:val="center"/>
        <w:tblInd w:w="0" w:type="dxa"/>
        <w:tblLayout w:type="fixed"/>
        <w:tblCellMar>
          <w:top w:w="0" w:type="dxa"/>
          <w:left w:w="0" w:type="dxa"/>
          <w:bottom w:w="0" w:type="dxa"/>
          <w:right w:w="0" w:type="dxa"/>
        </w:tblCellMar>
      </w:tblPr>
      <w:tblGrid>
        <w:gridCol w:w="5139"/>
        <w:gridCol w:w="120"/>
        <w:gridCol w:w="4946"/>
      </w:tblGrid>
      <w:tr>
        <w:trPr/>
        <w:tc>
          <w:tcPr>
            <w:tcW w:w="51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6" w:type="dxa"/>
            <w:tcBorders/>
            <w:vAlign w:val="center"/>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0"/>
              <w:jc w:val="both"/>
              <w:rPr>
                <w:rFonts w:ascii="Times New Roman" w:hAnsi="Times New Roman"/>
                <w:sz w:val="20"/>
              </w:rPr>
            </w:pPr>
            <w:r>
              <w:rPr>
                <w:rFonts w:ascii="Times New Roman" w:hAnsi="Times New Roman"/>
                <w:sz w:val="20"/>
              </w:rPr>
              <w:t>PRICING TERM SHEET</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Dated as of June 2, 2026</w:t>
            </w:r>
          </w:p>
        </w:tc>
        <w:tc>
          <w:tcPr>
            <w:tcW w:w="120"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0"/>
              <w:jc w:val="right"/>
              <w:rPr>
                <w:rFonts w:ascii="Times New Roman" w:hAnsi="Times New Roman"/>
                <w:b/>
                <w:sz w:val="20"/>
              </w:rPr>
            </w:pPr>
            <w:r>
              <w:rPr>
                <w:rFonts w:ascii="Times New Roman" w:hAnsi="Times New Roman"/>
                <w:b/>
                <w:sz w:val="20"/>
              </w:rPr>
              <w:t>Issuer Free Writing Prospectus</w:t>
            </w:r>
          </w:p>
          <w:p>
            <w:pPr>
              <w:pStyle w:val="TableContents"/>
              <w:bidi w:val="0"/>
              <w:spacing w:before="0" w:after="0"/>
              <w:jc w:val="right"/>
              <w:rPr>
                <w:rFonts w:ascii="Times New Roman" w:hAnsi="Times New Roman"/>
                <w:b/>
                <w:sz w:val="20"/>
              </w:rPr>
            </w:pPr>
            <w:r>
              <w:rPr>
                <w:rFonts w:ascii="Times New Roman" w:hAnsi="Times New Roman"/>
                <w:b/>
                <w:sz w:val="20"/>
              </w:rPr>
              <w:t>Filed Pursuant to Rule 433</w:t>
            </w:r>
          </w:p>
          <w:p>
            <w:pPr>
              <w:pStyle w:val="TableContents"/>
              <w:bidi w:val="0"/>
              <w:spacing w:before="0" w:after="0"/>
              <w:jc w:val="right"/>
              <w:rPr>
                <w:rFonts w:ascii="Times New Roman" w:hAnsi="Times New Roman"/>
                <w:b/>
                <w:sz w:val="20"/>
              </w:rPr>
            </w:pPr>
            <w:r>
              <w:rPr>
                <w:rFonts w:ascii="Times New Roman" w:hAnsi="Times New Roman"/>
                <w:b/>
                <w:sz w:val="20"/>
              </w:rPr>
              <w:t>Registration Statement No. 333-296381</w:t>
            </w:r>
          </w:p>
          <w:p>
            <w:pPr>
              <w:pStyle w:val="TableContents"/>
              <w:bidi w:val="0"/>
              <w:spacing w:before="0" w:after="0"/>
              <w:jc w:val="right"/>
              <w:rPr>
                <w:rFonts w:ascii="Times New Roman" w:hAnsi="Times New Roman"/>
                <w:b/>
                <w:sz w:val="20"/>
              </w:rPr>
            </w:pPr>
            <w:r>
              <w:rPr>
                <w:rFonts w:ascii="Times New Roman" w:hAnsi="Times New Roman"/>
                <w:b/>
                <w:sz w:val="20"/>
              </w:rPr>
              <w:t>Registration Statement No. 333-296381-01</w:t>
            </w:r>
          </w:p>
          <w:p>
            <w:pPr>
              <w:pStyle w:val="TableContents"/>
              <w:bidi w:val="0"/>
              <w:spacing w:before="0" w:after="0"/>
              <w:jc w:val="right"/>
              <w:rPr>
                <w:rFonts w:ascii="Times New Roman" w:hAnsi="Times New Roman"/>
                <w:b/>
                <w:sz w:val="20"/>
              </w:rPr>
            </w:pPr>
            <w:r>
              <w:rPr>
                <w:rFonts w:ascii="Times New Roman" w:hAnsi="Times New Roman"/>
                <w:b/>
                <w:sz w:val="20"/>
              </w:rPr>
              <w:t>Supplementing the Preliminary</w:t>
            </w:r>
          </w:p>
          <w:p>
            <w:pPr>
              <w:pStyle w:val="TableContents"/>
              <w:bidi w:val="0"/>
              <w:spacing w:before="0" w:after="0"/>
              <w:jc w:val="right"/>
              <w:rPr>
                <w:rFonts w:ascii="Times New Roman" w:hAnsi="Times New Roman"/>
                <w:b/>
                <w:sz w:val="20"/>
              </w:rPr>
            </w:pPr>
            <w:r>
              <w:rPr>
                <w:rFonts w:ascii="Times New Roman" w:hAnsi="Times New Roman"/>
                <w:b/>
                <w:sz w:val="20"/>
              </w:rPr>
              <w:t>Prospectus Supplement</w:t>
            </w:r>
          </w:p>
          <w:p>
            <w:pPr>
              <w:pStyle w:val="TableContents"/>
              <w:bidi w:val="0"/>
              <w:spacing w:before="0" w:after="0"/>
              <w:jc w:val="right"/>
              <w:rPr>
                <w:rFonts w:ascii="Times New Roman" w:hAnsi="Times New Roman"/>
                <w:b/>
                <w:sz w:val="20"/>
              </w:rPr>
            </w:pPr>
            <w:r>
              <w:rPr>
                <w:rFonts w:ascii="Times New Roman" w:hAnsi="Times New Roman"/>
                <w:b/>
                <w:sz w:val="20"/>
              </w:rPr>
              <w:t>dated June 1, 2026 and the</w:t>
            </w:r>
          </w:p>
          <w:p>
            <w:pPr>
              <w:pStyle w:val="TableContents"/>
              <w:bidi w:val="0"/>
              <w:spacing w:before="0" w:after="20"/>
              <w:jc w:val="right"/>
              <w:rPr>
                <w:rFonts w:ascii="Times New Roman" w:hAnsi="Times New Roman"/>
                <w:b/>
                <w:sz w:val="20"/>
              </w:rPr>
            </w:pPr>
            <w:r>
              <w:rPr>
                <w:rFonts w:ascii="Times New Roman" w:hAnsi="Times New Roman"/>
                <w:b/>
                <w:sz w:val="20"/>
              </w:rPr>
              <w:t>Prospectus dated June 1, 2026</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CEMEX, S.A.B. DE C.V. </w:t>
      </w:r>
    </w:p>
    <w:p>
      <w:pPr>
        <w:pStyle w:val="TextBody"/>
        <w:bidi w:val="0"/>
        <w:spacing w:before="240" w:after="0"/>
        <w:jc w:val="center"/>
        <w:rPr>
          <w:rFonts w:ascii="Times New Roman" w:hAnsi="Times New Roman"/>
          <w:sz w:val="20"/>
        </w:rPr>
      </w:pPr>
      <w:r>
        <w:rPr>
          <w:rFonts w:ascii="Times New Roman" w:hAnsi="Times New Roman"/>
          <w:b/>
          <w:sz w:val="20"/>
        </w:rPr>
        <w:t>5.750% Senior Notes due 2036</w:t>
      </w:r>
      <w:r>
        <w:rPr>
          <w:rFonts w:ascii="Times New Roman" w:hAnsi="Times New Roman"/>
          <w:sz w:val="20"/>
        </w:rPr>
        <w:t xml:space="preser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Guaranteed by </w:t>
      </w:r>
    </w:p>
    <w:p>
      <w:pPr>
        <w:pStyle w:val="TextBody"/>
        <w:bidi w:val="0"/>
        <w:spacing w:before="0" w:after="0"/>
        <w:jc w:val="center"/>
        <w:rPr>
          <w:rFonts w:ascii="Times New Roman" w:hAnsi="Times New Roman"/>
          <w:b/>
          <w:sz w:val="20"/>
        </w:rPr>
      </w:pPr>
      <w:r>
        <w:rPr>
          <w:rFonts w:ascii="Times New Roman" w:hAnsi="Times New Roman"/>
          <w:b/>
          <w:sz w:val="20"/>
        </w:rPr>
        <w:t xml:space="preserve">Cemex Corp. </w:t>
      </w:r>
    </w:p>
    <w:p>
      <w:pPr>
        <w:pStyle w:val="TextBody"/>
        <w:bidi w:val="0"/>
        <w:spacing w:before="240" w:after="0"/>
        <w:jc w:val="both"/>
        <w:rPr>
          <w:rFonts w:ascii="Times New Roman" w:hAnsi="Times New Roman"/>
          <w:i/>
          <w:sz w:val="20"/>
        </w:rPr>
      </w:pPr>
      <w:r>
        <w:rPr>
          <w:rFonts w:ascii="Times New Roman" w:hAnsi="Times New Roman"/>
          <w:i/>
          <w:sz w:val="20"/>
        </w:rPr>
        <w:t>This pricing term sheet relates only to the Notes (as defined below) and should be read together with the preliminary prospectus supplement dated June 1, 2026 (including the documents incorporated by reference therein) relating to the offering of the Notes (the “</w:t>
      </w:r>
      <w:r>
        <w:rPr>
          <w:rFonts w:ascii="Times New Roman" w:hAnsi="Times New Roman"/>
          <w:i/>
          <w:sz w:val="20"/>
          <w:u w:val="single"/>
        </w:rPr>
        <w:t>Preliminary Prospectus Supplement</w:t>
      </w:r>
      <w:r>
        <w:rPr>
          <w:rFonts w:ascii="Times New Roman" w:hAnsi="Times New Roman"/>
          <w:i/>
          <w:sz w:val="20"/>
        </w:rPr>
        <w:t xml:space="preserve">”) before making a decision in connection with an investment in the Notes. The information in this pricing term sheet supersedes the information in the Preliminary Prospectus Supplement relating to the Notes to the extent that it is inconsistent therewith. Terms used but not defined herein have the meanings ascribed to them in the Preliminary Prospectus Supplement.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Issuer: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Cemex, S.A.B. de C.V.</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Guarantor: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Cemex Corp.</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Issuer Ratings*: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BBB- (Stable) from S&amp;P and BBB- (Positive) from Fitch</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Expected Issue Ratings*: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BBB- from S&amp;P and BBB- from Fitch</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Offering Format: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SEC-Registered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Ranking:</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Senior Unsecured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Security Title: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5.750% Senior Notes due 2036 (the “</w:t>
            </w:r>
            <w:r>
              <w:rPr>
                <w:rFonts w:ascii="Times New Roman" w:hAnsi="Times New Roman"/>
                <w:sz w:val="20"/>
                <w:u w:val="single"/>
              </w:rPr>
              <w:t>Notes</w:t>
            </w:r>
            <w:r>
              <w:rPr>
                <w:rFonts w:ascii="Times New Roman" w:hAnsi="Times New Roman"/>
                <w:sz w:val="20"/>
              </w:rPr>
              <w: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Currency: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U.S. Dollars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Principal Amount: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U.S.$1,500,000,000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Coupon: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5.750%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Maturity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June 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Interest Payment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June 5 and December 5 of each year, commencing on December 5,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Day Count: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30/360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Price to Investors: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99.572% of principal amount, plus accrued interest, if any, from June 5,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UST 4.375% due May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Spread to 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+135 bps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both"/>
              <w:rPr>
                <w:rFonts w:ascii="Times New Roman" w:hAnsi="Times New Roman"/>
                <w:sz w:val="20"/>
              </w:rPr>
            </w:pPr>
            <w:r>
              <w:rPr>
                <w:rFonts w:ascii="Times New Roman" w:hAnsi="Times New Roman"/>
                <w:sz w:val="20"/>
              </w:rPr>
              <w:t>Benchmark Treasury Price and Yield: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both"/>
              <w:rPr>
                <w:rFonts w:ascii="Times New Roman" w:hAnsi="Times New Roman"/>
                <w:sz w:val="20"/>
              </w:rPr>
            </w:pPr>
            <w:r>
              <w:rPr>
                <w:rFonts w:ascii="Times New Roman" w:hAnsi="Times New Roman"/>
                <w:sz w:val="20"/>
              </w:rPr>
              <w:t>99-11, 4.457%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202"/>
        <w:gridCol w:w="6635"/>
      </w:tblGrid>
      <w:tr>
        <w:trPr/>
        <w:tc>
          <w:tcPr>
            <w:tcW w:w="33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Yield to Maturity: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5.807%</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Optional Redemption: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Prior to March 5, 2036, make-whole call, in whole or in part, at T+25 bps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On and after March 5, 2036, par call, in whole or in part</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Optional Tax Redemption: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In whole but not in part, at par upon certain changes in withholding taxes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Trade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June 2, 2026</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Settlement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June 5, 2026 (T+3)</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Denominations / Multiples: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U.S.$2,000 / U.S.$1,000</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Clearing:</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DTC / Euroclear / Clearstream</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CUSIP / ISIN: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151290 CD3 / US151290CD37</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Governing Law:</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State of New York</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Expected Listing:</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New York Stock Exchange (application pending)</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both"/>
              <w:rPr>
                <w:rFonts w:ascii="Times New Roman" w:hAnsi="Times New Roman"/>
                <w:sz w:val="20"/>
              </w:rPr>
            </w:pPr>
            <w:r>
              <w:rPr>
                <w:rFonts w:ascii="Times New Roman" w:hAnsi="Times New Roman"/>
                <w:sz w:val="20"/>
              </w:rPr>
              <w:t>Joint Bookrunners: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both"/>
              <w:rPr>
                <w:rFonts w:ascii="Times New Roman" w:hAnsi="Times New Roman"/>
                <w:sz w:val="20"/>
              </w:rPr>
            </w:pPr>
            <w:r>
              <w:rPr>
                <w:rFonts w:ascii="Times New Roman" w:hAnsi="Times New Roman"/>
                <w:sz w:val="20"/>
              </w:rPr>
              <w:t>BofA Securities, Inc.</w:t>
            </w:r>
          </w:p>
          <w:p>
            <w:pPr>
              <w:pStyle w:val="TableContents"/>
              <w:bidi w:val="0"/>
              <w:spacing w:before="0" w:after="0"/>
              <w:jc w:val="both"/>
              <w:rPr>
                <w:rFonts w:ascii="Times New Roman" w:hAnsi="Times New Roman"/>
                <w:sz w:val="20"/>
              </w:rPr>
            </w:pPr>
            <w:r>
              <w:rPr>
                <w:rFonts w:ascii="Times New Roman" w:hAnsi="Times New Roman"/>
                <w:sz w:val="20"/>
              </w:rPr>
              <w:t>Citigroup Global Markets Inc.</w:t>
            </w:r>
          </w:p>
          <w:p>
            <w:pPr>
              <w:pStyle w:val="TableContents"/>
              <w:bidi w:val="0"/>
              <w:spacing w:before="0" w:after="0"/>
              <w:jc w:val="both"/>
              <w:rPr>
                <w:rFonts w:ascii="Times New Roman" w:hAnsi="Times New Roman"/>
                <w:sz w:val="20"/>
              </w:rPr>
            </w:pPr>
            <w:r>
              <w:rPr>
                <w:rFonts w:ascii="Times New Roman" w:hAnsi="Times New Roman"/>
                <w:sz w:val="20"/>
              </w:rPr>
              <w:t>Credit Agricole Securities (USA) Inc.</w:t>
            </w:r>
          </w:p>
          <w:p>
            <w:pPr>
              <w:pStyle w:val="TableContents"/>
              <w:bidi w:val="0"/>
              <w:spacing w:before="0" w:after="0"/>
              <w:jc w:val="both"/>
              <w:rPr>
                <w:rFonts w:ascii="Times New Roman" w:hAnsi="Times New Roman"/>
                <w:sz w:val="20"/>
              </w:rPr>
            </w:pPr>
            <w:r>
              <w:rPr>
                <w:rFonts w:ascii="Times New Roman" w:hAnsi="Times New Roman"/>
                <w:sz w:val="20"/>
              </w:rPr>
              <w:t>J.P. Morgan Securities LLC</w:t>
            </w:r>
          </w:p>
          <w:p>
            <w:pPr>
              <w:pStyle w:val="TableContents"/>
              <w:bidi w:val="0"/>
              <w:spacing w:before="0" w:after="0"/>
              <w:jc w:val="both"/>
              <w:rPr>
                <w:rFonts w:ascii="Times New Roman" w:hAnsi="Times New Roman"/>
                <w:sz w:val="20"/>
              </w:rPr>
            </w:pPr>
            <w:r>
              <w:rPr>
                <w:rFonts w:ascii="Times New Roman" w:hAnsi="Times New Roman"/>
                <w:sz w:val="20"/>
              </w:rPr>
              <w:t>Mizuho Securities USA LLC</w:t>
            </w:r>
          </w:p>
          <w:p>
            <w:pPr>
              <w:pStyle w:val="TableContents"/>
              <w:bidi w:val="0"/>
              <w:spacing w:before="0" w:after="0"/>
              <w:jc w:val="both"/>
              <w:rPr>
                <w:rFonts w:ascii="Times New Roman" w:hAnsi="Times New Roman"/>
                <w:sz w:val="20"/>
              </w:rPr>
            </w:pPr>
            <w:r>
              <w:rPr>
                <w:rFonts w:ascii="Times New Roman" w:hAnsi="Times New Roman"/>
                <w:sz w:val="20"/>
              </w:rPr>
              <w:t>SMBC Nikko Securities America, Inc.</w:t>
            </w:r>
          </w:p>
          <w:p>
            <w:pPr>
              <w:pStyle w:val="TableContents"/>
              <w:bidi w:val="0"/>
              <w:spacing w:before="0" w:after="0"/>
              <w:jc w:val="both"/>
              <w:rPr>
                <w:rFonts w:ascii="Times New Roman" w:hAnsi="Times New Roman"/>
                <w:sz w:val="20"/>
              </w:rPr>
            </w:pPr>
            <w:r>
              <w:rPr>
                <w:rFonts w:ascii="Times New Roman" w:hAnsi="Times New Roman"/>
                <w:sz w:val="20"/>
              </w:rPr>
              <w:t>BBVA Securities Inc.</w:t>
            </w:r>
          </w:p>
          <w:p>
            <w:pPr>
              <w:pStyle w:val="TableContents"/>
              <w:bidi w:val="0"/>
              <w:spacing w:before="0" w:after="0"/>
              <w:jc w:val="both"/>
              <w:rPr>
                <w:rFonts w:ascii="Times New Roman" w:hAnsi="Times New Roman"/>
                <w:sz w:val="20"/>
              </w:rPr>
            </w:pPr>
            <w:r>
              <w:rPr>
                <w:rFonts w:ascii="Times New Roman" w:hAnsi="Times New Roman"/>
                <w:sz w:val="20"/>
              </w:rPr>
              <w:t>BNP Paribas Securities Corp.</w:t>
            </w:r>
          </w:p>
          <w:p>
            <w:pPr>
              <w:pStyle w:val="TableContents"/>
              <w:bidi w:val="0"/>
              <w:spacing w:before="0" w:after="0"/>
              <w:jc w:val="both"/>
              <w:rPr>
                <w:rFonts w:ascii="Times New Roman" w:hAnsi="Times New Roman"/>
                <w:sz w:val="20"/>
              </w:rPr>
            </w:pPr>
            <w:r>
              <w:rPr>
                <w:rFonts w:ascii="Times New Roman" w:hAnsi="Times New Roman"/>
                <w:sz w:val="20"/>
              </w:rPr>
              <w:t>Citizens JMP Securities, LLC</w:t>
            </w:r>
          </w:p>
          <w:p>
            <w:pPr>
              <w:pStyle w:val="TableContents"/>
              <w:bidi w:val="0"/>
              <w:spacing w:before="0" w:after="0"/>
              <w:jc w:val="both"/>
              <w:rPr>
                <w:rFonts w:ascii="Times New Roman" w:hAnsi="Times New Roman"/>
                <w:sz w:val="20"/>
              </w:rPr>
            </w:pPr>
            <w:r>
              <w:rPr>
                <w:rFonts w:ascii="Times New Roman" w:hAnsi="Times New Roman"/>
                <w:sz w:val="20"/>
              </w:rPr>
              <w:t>HSBC Securities (USA) Inc.</w:t>
            </w:r>
          </w:p>
          <w:p>
            <w:pPr>
              <w:pStyle w:val="TableContents"/>
              <w:bidi w:val="0"/>
              <w:spacing w:before="0" w:after="0"/>
              <w:jc w:val="both"/>
              <w:rPr>
                <w:rFonts w:ascii="Times New Roman" w:hAnsi="Times New Roman"/>
                <w:sz w:val="20"/>
              </w:rPr>
            </w:pPr>
            <w:r>
              <w:rPr>
                <w:rFonts w:ascii="Times New Roman" w:hAnsi="Times New Roman"/>
                <w:sz w:val="20"/>
              </w:rPr>
              <w:t>ING Financial Markets LLC</w:t>
            </w:r>
          </w:p>
          <w:p>
            <w:pPr>
              <w:pStyle w:val="TableContents"/>
              <w:bidi w:val="0"/>
              <w:spacing w:before="0" w:after="0"/>
              <w:jc w:val="both"/>
              <w:rPr>
                <w:rFonts w:ascii="Times New Roman" w:hAnsi="Times New Roman"/>
                <w:sz w:val="20"/>
              </w:rPr>
            </w:pPr>
            <w:r>
              <w:rPr>
                <w:rFonts w:ascii="Times New Roman" w:hAnsi="Times New Roman"/>
                <w:sz w:val="20"/>
              </w:rPr>
              <w:t>Intesa Sanpaolo IMI Securities Corp.</w:t>
            </w:r>
          </w:p>
          <w:p>
            <w:pPr>
              <w:pStyle w:val="TableContents"/>
              <w:bidi w:val="0"/>
              <w:spacing w:before="0" w:after="0"/>
              <w:jc w:val="both"/>
              <w:rPr>
                <w:rFonts w:ascii="Times New Roman" w:hAnsi="Times New Roman"/>
                <w:sz w:val="20"/>
              </w:rPr>
            </w:pPr>
            <w:r>
              <w:rPr>
                <w:rFonts w:ascii="Times New Roman" w:hAnsi="Times New Roman"/>
                <w:sz w:val="20"/>
              </w:rPr>
              <w:t>Morgan Stanley &amp; Co. LLC</w:t>
            </w:r>
          </w:p>
          <w:p>
            <w:pPr>
              <w:pStyle w:val="TableContents"/>
              <w:bidi w:val="0"/>
              <w:spacing w:before="0" w:after="20"/>
              <w:jc w:val="both"/>
              <w:rPr>
                <w:rFonts w:ascii="Times New Roman" w:hAnsi="Times New Roman"/>
                <w:sz w:val="20"/>
              </w:rPr>
            </w:pPr>
            <w:r>
              <w:rPr>
                <w:rFonts w:ascii="Times New Roman" w:hAnsi="Times New Roman"/>
                <w:sz w:val="20"/>
              </w:rPr>
              <w:t>Scotia Capital (USA)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p>
      <w:pPr>
        <w:pStyle w:val="TextBody"/>
        <w:bidi w:val="0"/>
        <w:spacing w:before="360" w:after="0"/>
        <w:jc w:val="both"/>
        <w:rPr>
          <w:rFonts w:ascii="Times New Roman" w:hAnsi="Times New Roman"/>
          <w:b/>
          <w:sz w:val="20"/>
        </w:rPr>
      </w:pPr>
      <w:r>
        <w:rPr>
          <w:rFonts w:ascii="Times New Roman" w:hAnsi="Times New Roman"/>
          <w:b/>
          <w:sz w:val="20"/>
        </w:rPr>
        <w:t xml:space="preserve">The Issuer has filed a registration statement (including the Preliminary Prospectus Supplement and the accompanying prospectus dated June 1, 2026) with the Securities and Exchange Commission (the “SEC”), for the offering of the Notes. Before you invest in the Notes, you should read the Preliminary Prospectus Supplement, the accompanying prospectus in that registration statement and the other documents the Issuer has filed with the SEC for more complete information about the Issuer and the offering of the Notes. You may get these documents for free by visiting EDGAR on the SEC web site at www.sec.gov. Alternatively, you can request the Preliminary Prospectus Supplement and the accompanying prospectus by contacting: BofA Securities, Inc. at +1 800 294 1322, Citigroup Global Markets Inc. at +1 800 831-9146, Credit Agricole Securities (USA) Inc. at +1 866 807 6030, J.P. Morgan Securities LLC at +1 212 834 4533, Mizuho Securities USA LLC at +1 866 271 7403 and SMBC Nikko Securities America, Inc. at +1 888 868 6856.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THE NOTES HAVE NOT BEEN AND WILL NOT BE REGISTERED WITH THE MEXICAN NATIONAL SECURITIES REGISTRY (</w:t>
      </w:r>
      <w:r>
        <w:rPr>
          <w:rFonts w:ascii="Times New Roman" w:hAnsi="Times New Roman"/>
          <w:b/>
          <w:i/>
          <w:sz w:val="20"/>
        </w:rPr>
        <w:t>REGISTRO NACIONAL DE VALORES</w:t>
      </w:r>
      <w:r>
        <w:rPr>
          <w:rFonts w:ascii="Times New Roman" w:hAnsi="Times New Roman"/>
          <w:sz w:val="20"/>
        </w:rPr>
        <w:t> </w:t>
      </w:r>
      <w:r>
        <w:rPr>
          <w:rFonts w:ascii="Times New Roman" w:hAnsi="Times New Roman"/>
          <w:b/>
          <w:sz w:val="20"/>
        </w:rPr>
        <w:t>) MAINTAINED BY THE MEXICAN NATIONAL BANKING AND SECURITIES COMMISSION (</w:t>
      </w:r>
      <w:r>
        <w:rPr>
          <w:rFonts w:ascii="Times New Roman" w:hAnsi="Times New Roman"/>
          <w:b/>
          <w:i/>
          <w:sz w:val="20"/>
        </w:rPr>
        <w:t>COMISIÓN NACIONAL BANCARIA Y DE VALORES</w:t>
      </w:r>
      <w:r>
        <w:rPr>
          <w:rFonts w:ascii="Times New Roman" w:hAnsi="Times New Roman"/>
          <w:sz w:val="20"/>
        </w:rPr>
        <w:t xml:space="preserve"> </w:t>
      </w:r>
      <w:r>
        <w:rPr>
          <w:rFonts w:ascii="Times New Roman" w:hAnsi="Times New Roman"/>
          <w:b/>
          <w:sz w:val="20"/>
        </w:rPr>
        <w:t>OR THE “CNBV”) AND THEREFORE MAY NOT BE OFFERED OR SOLD PUBLICLY IN MEXICO, EXCEPT THAT THE NOTES MAY BE OFFERED AND SOLD IN MEXICO TO INVESTORS THAT QUALIFY AS INSTITUTIONAL OR QUALIFIED INVESTORS SOLELY, PURSUANT TO THE PRIVATE PLACEMENT EXEMPTION SET FORTH IN ARTICLE 8 OF THE MEXICAN SECURITIES MARKET LAW (</w:t>
      </w:r>
      <w:r>
        <w:rPr>
          <w:rFonts w:ascii="Times New Roman" w:hAnsi="Times New Roman"/>
          <w:b/>
          <w:i/>
          <w:sz w:val="20"/>
        </w:rPr>
        <w:t>LEY DEL MERCADO DE VALORES</w:t>
      </w:r>
      <w:r>
        <w:rPr>
          <w:rFonts w:ascii="Times New Roman" w:hAnsi="Times New Roman"/>
          <w:sz w:val="20"/>
        </w:rPr>
        <w:t> </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z w:val="20"/>
        </w:rPr>
        <w:t xml:space="preserve">THE TERMS AND CONDITIONS OF THIS OFFERING WILL BE NOTIFIED TO THE CNBV FOR INFORMATIONAL PURPOSES ONLY AND THE DELIVERY TO AND THE RECEIPT BY THE CNBV OF SUCH NOTICE DOES NOT CONSTITUTE OR IMPLY ANY CERTIFICATION AS TO THE INVESTMENT QUALITY OF THE NOTES OR OF OUR SOLVENCY, LIQUIDITY OR CREDIT QUALITY OR THE ACCURACY OR COMPLETENESS OF THE INFORMATION SET FORTH IN THE PROSPECTUS SUPPLEMENT. THE NOTES MAY NOT BE OFFERED, SOLD OR SUBJECT TO INTERMEDIATION ACTIVITIES IN MEXICO, ABSENT AN AVAILABLE EXEMPTION UNDER THE LEY DEL MERCADO DE VALORES (MEXICAN SECURITIES MARKET LAW). IN MAKING AN INVESTMENT DECISION, ALL INVESTORS, INCLUDING ANY MEXICAN CITIZEN WHO MAY ACQUIRE NOTES FROM TIME TO TIME, MUST RELY ON THEIR OWN EXAMINATION OF THE ISSUER AND ANY SUBSIDIARY GUARANTOR. </w:t>
      </w:r>
    </w:p>
    <w:p>
      <w:pPr>
        <w:pStyle w:val="TextBody"/>
        <w:bidi w:val="0"/>
        <w:spacing w:before="240" w:after="0"/>
        <w:jc w:val="both"/>
        <w:rPr>
          <w:rFonts w:ascii="Times New Roman" w:hAnsi="Times New Roman"/>
          <w:sz w:val="20"/>
        </w:rPr>
      </w:pPr>
      <w:r>
        <w:rPr>
          <w:rFonts w:ascii="Times New Roman" w:hAnsi="Times New Roman"/>
          <w:sz w:val="20"/>
        </w:rPr>
        <w:t xml:space="preserve">Under Rule 15c6-1 of the U.S. Securities Exchange Act of 1934, as amended, trades in the secondary market generally are required to settle in one business day, unless the parties to such trade expressly agree otherwise. Accordingly, purchasers who wish to trade the Notes prior to the date that is one business day before the date of delivery of the Notes may be required, by virtue of the fact that the Notes initially will settle in three business days (T+3) to specify alternative settlement arrangements to prevent a failed settlement. </w:t>
      </w:r>
    </w:p>
    <w:p>
      <w:pPr>
        <w:pStyle w:val="TextBody"/>
        <w:bidi w:val="0"/>
        <w:spacing w:before="240" w:after="0"/>
        <w:jc w:val="both"/>
        <w:rPr>
          <w:rFonts w:ascii="Times New Roman" w:hAnsi="Times New Roman"/>
          <w:sz w:val="20"/>
        </w:rPr>
      </w:pPr>
      <w:r>
        <w:rPr>
          <w:rFonts w:ascii="Times New Roman" w:hAnsi="Times New Roman"/>
          <w:sz w:val="20"/>
        </w:rPr>
        <w:t xml:space="preserve">The offer and sale of the securities to which this pricing term sheet relates have been registered by the Issuer with the SEC by means of a registration statement on Form F-3ASR (Registration No. 333-296381). This pricing term sheet shall not constitute an offer to sell or the solicitation of an offer to buy nor shall there be any sale of any securities in any state or jurisdiction in which such offer, solicitation or sale would be unlawful prior to registration or qualification under the securities laws of any such state or jurisdiction. </w:t>
      </w:r>
    </w:p>
    <w:p>
      <w:pPr>
        <w:pStyle w:val="TextBody"/>
        <w:bidi w:val="0"/>
        <w:spacing w:before="240" w:after="0"/>
        <w:jc w:val="both"/>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In the European Economic Area,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both"/>
        <w:rPr>
          <w:rFonts w:ascii="Times New Roman" w:hAnsi="Times New Roman"/>
          <w:sz w:val="20"/>
        </w:rPr>
      </w:pPr>
      <w:r>
        <w:rPr>
          <w:rFonts w:ascii="Times New Roman" w:hAnsi="Times New Roman"/>
          <w:b/>
          <w:sz w:val="20"/>
        </w:rPr>
        <w:t xml:space="preserve">Prohibition of Sales to UK Retail Investors. </w:t>
      </w:r>
      <w:r>
        <w:rPr>
          <w:rFonts w:ascii="Times New Roman" w:hAnsi="Times New Roman"/>
          <w:sz w:val="20"/>
        </w:rPr>
        <w:t xml:space="preserve">In the United Kingdom,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 </w:t>
      </w:r>
    </w:p>
    <w:p>
      <w:pPr>
        <w:pStyle w:val="TextBody"/>
        <w:bidi w:val="0"/>
        <w:spacing w:before="240" w:after="0"/>
        <w:jc w:val="both"/>
        <w:rPr>
          <w:rFonts w:ascii="Times New Roman" w:hAnsi="Times New Roman"/>
          <w:sz w:val="20"/>
        </w:rPr>
      </w:pPr>
      <w:r>
        <w:rPr>
          <w:rFonts w:ascii="Times New Roman" w:hAnsi="Times New Roman"/>
          <w:sz w:val="20"/>
        </w:rPr>
        <w:t xml:space="preserve">In the United Kingdom, this pricing term sheet is for distribution only to, and is only directed at, persons who (i) are outside the UK, (ii) are investment professionals falling within Article 19(5) of the Financial Services and Markets Act 2000 (Financial Promotion) Order 2005 (as amended, the “Order”) or (iii) are high net worth entities or other persons falling within Article 49(2)(a) to (e) of the Order (all such persons being referred to as “relevant persons”). This pricing term sheet is directed only at relevant persons and must not be acted on or relied on by persons who are not relevant persons. Any investment or investment activity to which this pricing term sheet relates is available only to relevant persons and will be engaged in only with relevant persons. Any person who is not a relevant person should not act or rely on this pricing term sheet or any of its contents. </w:t>
      </w:r>
    </w:p>
    <w:p>
      <w:pPr>
        <w:pStyle w:val="TextBody"/>
        <w:bidi w:val="0"/>
        <w:spacing w:before="240" w:after="0"/>
        <w:jc w:val="both"/>
        <w:rPr>
          <w:rFonts w:ascii="Times New Roman" w:hAnsi="Times New Roman"/>
          <w:sz w:val="20"/>
        </w:rPr>
      </w:pPr>
      <w:r>
        <w:rPr>
          <w:rFonts w:ascii="Times New Roman" w:hAnsi="Times New Roman"/>
          <w:sz w:val="20"/>
        </w:rPr>
        <w:t xml:space="preserve">This notice does not constitute an offer to sell or a solicitation of an offer to buy or an advertisement in respect of the Notes in any province or territory of Canada other than the provinces of Alberta, British Columbia, Nova Scotia, Ontario, Québec and Saskatchewan, and in those permitted provinces only to investors that are “accredited investors” as defined in National Instrument 45-106 Prospectus Exemptions and “permitted clients” as defined in National Instrument 31-103 Registration Requirements, Exemptions and Ongoing Registrant Obligations. </w:t>
      </w:r>
    </w:p>
    <w:p>
      <w:pPr>
        <w:pStyle w:val="TextBody"/>
        <w:bidi w:val="0"/>
        <w:spacing w:before="240" w:after="0"/>
        <w:jc w:val="both"/>
        <w:rPr>
          <w:rFonts w:ascii="Times New Roman" w:hAnsi="Times New Roman"/>
          <w:sz w:val="20"/>
        </w:rPr>
      </w:pPr>
      <w:r>
        <w:rPr>
          <w:rFonts w:ascii="Times New Roman" w:hAnsi="Times New Roman"/>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1461</Words>
  <Characters>7681</Characters>
  <CharactersWithSpaces>9125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