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8223d6k.htm"/>
      <w:bookmarkStart w:id="1" w:name="ksd13822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001-14946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Cemex,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Ricardo Margáin Zozaya #325, Colonia Valle del Campestre </w:t>
      </w:r>
    </w:p>
    <w:p>
      <w:pPr>
        <w:pStyle w:val="TextBody"/>
        <w:bidi w:val="0"/>
        <w:spacing w:before="0" w:after="0"/>
        <w:jc w:val="center"/>
        <w:rPr>
          <w:rFonts w:ascii="Times New Roman" w:hAnsi="Times New Roman"/>
          <w:b/>
          <w:sz w:val="20"/>
        </w:rPr>
      </w:pPr>
      <w:r>
        <w:rPr>
          <w:rFonts w:ascii="Times New Roman" w:hAnsi="Times New Roman"/>
          <w:b/>
          <w:sz w:val="20"/>
        </w:rPr>
        <w:t xml:space="preserve">San Pedro Garza García, Nuevo León, 66265 México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Contents </w:t>
      </w:r>
    </w:p>
    <w:p>
      <w:pPr>
        <w:pStyle w:val="TextBody"/>
        <w:bidi w:val="0"/>
        <w:spacing w:before="240" w:after="0"/>
        <w:jc w:val="left"/>
        <w:rPr>
          <w:rFonts w:ascii="Times New Roman" w:hAnsi="Times New Roman"/>
          <w:sz w:val="20"/>
        </w:rPr>
      </w:pPr>
      <w:r>
        <w:rPr>
          <w:rFonts w:ascii="Times New Roman" w:hAnsi="Times New Roman"/>
          <w:sz w:val="20"/>
        </w:rPr>
        <w:t>Cemex, S.A.B. de C.V. (“Cemex”) (NYSE: CX) announced that, with respect to its long-term notes (</w:t>
      </w:r>
      <w:r>
        <w:rPr>
          <w:rFonts w:ascii="Times New Roman" w:hAnsi="Times New Roman"/>
          <w:i/>
          <w:sz w:val="20"/>
        </w:rPr>
        <w:t>certificados bursátiles de largo plazo</w:t>
      </w:r>
      <w:r>
        <w:rPr>
          <w:rFonts w:ascii="Times New Roman" w:hAnsi="Times New Roman"/>
          <w:sz w:val="20"/>
        </w:rPr>
        <w:t>) issued under ticker symbols “CEMEX 23-2L” for an aggregate principal amount of MXN $8,500,000,000 and “CEMEX 26” for an aggregate principal amount of MXN $5,500,000,000 (the “Certificados Bursatiles”), it successfully concluded the process with the Mexican National Banking and Securities Commission (</w:t>
      </w:r>
      <w:r>
        <w:rPr>
          <w:rFonts w:ascii="Times New Roman" w:hAnsi="Times New Roman"/>
          <w:i/>
          <w:sz w:val="20"/>
        </w:rPr>
        <w:t>Comisión Nacional Bancaria y de Valores</w:t>
      </w:r>
      <w:r>
        <w:rPr>
          <w:rFonts w:ascii="Times New Roman" w:hAnsi="Times New Roman"/>
          <w:sz w:val="20"/>
        </w:rPr>
        <w:t xml:space="preserve">) to formalize the release of Cemex Concretos, S.A. de C.V., Cemex Operaciones México, S.A. de C.V. and Cemex Innovation Holding Ltd. as guarantors of the Certificados Bursatiles. As a result, Cemex Corp. remains the sole guarantor of the Certificados Bursatiles. </w:t>
      </w:r>
    </w:p>
    <w:p>
      <w:pPr>
        <w:pStyle w:val="TextBody"/>
        <w:bidi w:val="0"/>
        <w:spacing w:before="240" w:after="0"/>
        <w:jc w:val="left"/>
        <w:rPr>
          <w:rFonts w:ascii="Times New Roman" w:hAnsi="Times New Roman"/>
          <w:sz w:val="20"/>
        </w:rPr>
      </w:pPr>
      <w:r>
        <w:rPr>
          <w:rFonts w:ascii="Times New Roman" w:hAnsi="Times New Roman"/>
          <w:sz w:val="20"/>
        </w:rPr>
        <w:t>With respect to the long-term notes (</w:t>
      </w:r>
      <w:r>
        <w:rPr>
          <w:rFonts w:ascii="Times New Roman" w:hAnsi="Times New Roman"/>
          <w:i/>
          <w:sz w:val="20"/>
        </w:rPr>
        <w:t>certificados bursátiles de largo plazo</w:t>
      </w:r>
      <w:r>
        <w:rPr>
          <w:rFonts w:ascii="Times New Roman" w:hAnsi="Times New Roman"/>
          <w:sz w:val="20"/>
        </w:rPr>
        <w:t>) issued under ticker symbol “CEMEX 23L” for an aggregate principal amount of MXN $3,000,000,000, the above described guarantor release process was not finalized because those long-term notes (</w:t>
      </w:r>
      <w:r>
        <w:rPr>
          <w:rFonts w:ascii="Times New Roman" w:hAnsi="Times New Roman"/>
          <w:i/>
          <w:sz w:val="20"/>
        </w:rPr>
        <w:t>certificados bursátiles de largo plazo</w:t>
      </w:r>
      <w:r>
        <w:rPr>
          <w:rFonts w:ascii="Times New Roman" w:hAnsi="Times New Roman"/>
          <w:sz w:val="20"/>
        </w:rPr>
        <w:t xml:space="preserve">) matured as scheduled and were repaid on October 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Cemex, S.A.B. de C.V.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0"/>
        <w:gridCol w:w="102"/>
        <w:gridCol w:w="405"/>
        <w:gridCol w:w="102"/>
        <w:gridCol w:w="312"/>
        <w:gridCol w:w="102"/>
        <w:gridCol w:w="4602"/>
      </w:tblGrid>
      <w:tr>
        <w:trPr/>
        <w:tc>
          <w:tcPr>
            <w:tcW w:w="458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02" w:type="dxa"/>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Cemex, S.A.B. de C.V.</w:t>
            </w:r>
          </w:p>
        </w:tc>
      </w:tr>
      <w:tr>
        <w:trPr/>
        <w:tc>
          <w:tcPr>
            <w:tcW w:w="458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2" w:type="dxa"/>
            <w:tcBorders/>
          </w:tcPr>
          <w:p>
            <w:pPr>
              <w:pStyle w:val="TableContents"/>
              <w:bidi w:val="0"/>
              <w:spacing w:before="0" w:after="283"/>
              <w:jc w:val="left"/>
              <w:rPr/>
            </w:pPr>
            <w:r>
              <w:rPr/>
              <w:t>(Registrant)</w:t>
            </w:r>
          </w:p>
        </w:tc>
      </w:tr>
      <w:tr>
        <w:trPr>
          <w:trHeight w:val="240" w:hRule="atLeast"/>
        </w:trPr>
        <w:tc>
          <w:tcPr>
            <w:tcW w:w="4580"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14" w:type="dxa"/>
            <w:gridSpan w:val="2"/>
            <w:tcBorders/>
            <w:vAlign w:val="center"/>
          </w:tcPr>
          <w:p>
            <w:pPr>
              <w:pStyle w:val="TableContents"/>
              <w:bidi w:val="0"/>
              <w:spacing w:before="0" w:after="283"/>
              <w:jc w:val="left"/>
              <w:rPr>
                <w:sz w:val="4"/>
                <w:szCs w:val="4"/>
              </w:rPr>
            </w:pPr>
            <w:r>
              <w:rPr>
                <w:sz w:val="4"/>
                <w:szCs w:val="4"/>
              </w:rPr>
            </w:r>
          </w:p>
        </w:tc>
        <w:tc>
          <w:tcPr>
            <w:tcW w:w="4704" w:type="dxa"/>
            <w:gridSpan w:val="2"/>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Date: October 6, 2026</w:t>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60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Jaime Martínez Merla</w:t>
            </w:r>
          </w:p>
        </w:tc>
      </w:tr>
      <w:tr>
        <w:trPr/>
        <w:tc>
          <w:tcPr>
            <w:tcW w:w="458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2" w:type="dxa"/>
            <w:tcBorders/>
          </w:tcPr>
          <w:p>
            <w:pPr>
              <w:pStyle w:val="TableContents"/>
              <w:bidi w:val="0"/>
              <w:spacing w:before="0" w:after="0"/>
              <w:jc w:val="left"/>
              <w:rPr>
                <w:rFonts w:ascii="Times New Roman" w:hAnsi="Times New Roman"/>
                <w:sz w:val="20"/>
              </w:rPr>
            </w:pPr>
            <w:r>
              <w:rPr>
                <w:rFonts w:ascii="Times New Roman" w:hAnsi="Times New Roman"/>
                <w:sz w:val="20"/>
              </w:rPr>
              <w:t>Name:  Jaime Martínez Merla</w:t>
            </w:r>
          </w:p>
        </w:tc>
      </w:tr>
      <w:tr>
        <w:trPr/>
        <w:tc>
          <w:tcPr>
            <w:tcW w:w="458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2" w:type="dxa"/>
            <w:tcBorders/>
          </w:tcPr>
          <w:p>
            <w:pPr>
              <w:pStyle w:val="TableContents"/>
              <w:bidi w:val="0"/>
              <w:spacing w:before="0" w:after="0"/>
              <w:jc w:val="left"/>
              <w:rPr>
                <w:rFonts w:ascii="Times New Roman" w:hAnsi="Times New Roman"/>
                <w:sz w:val="20"/>
              </w:rPr>
            </w:pPr>
            <w:r>
              <w:rPr>
                <w:rFonts w:ascii="Times New Roman" w:hAnsi="Times New Roman"/>
                <w:sz w:val="20"/>
              </w:rPr>
              <w:t>Title:   Chief Comptroller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313</Words>
  <Characters>1765</Characters>
  <CharactersWithSpaces>2109</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