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320" w:right="98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001-14946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Cemex, S.A.B. de C.V.</w:t>
      </w:r>
    </w:p>
    <w:p>
      <w:pPr>
        <w:spacing w:after="0" w:line="5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Avenida Ricardo Margáin Zozaya #325, Colonia Valle del Campestre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San Pedro Garza García, Nuevo León, 66265, Mexico</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Senior Notes Offering</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Cemex, S.A.B. de C.V. (“Cemex”) (NYSE: CX) announced that today it issued $1,500,000,000 of its 5.750% Senior Notes due 2036 (the “Notes”) in an underwritten public offering (the “Offering”) pursuant to an underwriting agreement (the “Underwriting Agreement”), dated June 2, 2026, among Cemex and BofA Securities, Inc., Citigroup Global Markets Inc., Credit Agricole Securities (USA) Inc., J.P. Morgan Securities LLC, Mizuho Securities USA LLC and SMBC Nikko Securities America, Inc., as representatives of the several underwriters named therein.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were issued pursuant to an indenture, dated as of June 5, 2026 (the “Base Indenture”), between Cemex and The Bank of New York Mellon, as trustee (in such capacity, the “Trustee”), as supplemented by the first supplemental indenture, dated as of June 5, 2026 among Cemex, Cemex Corp., as note guarantor (the “Guarantor”), and the Trustee (the “First Supplemental Indenture” and, together with the Base Indenture,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fully and unconditionally guaranteed on a senior unsecured basis by the Guarantor.</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Cemex may, at its option, redeem the Notes, in whole or in part, at any time and from time to time prior to March 5, 2036 (the “Par Call Date”) at a redemption price equal to the greater of:</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Notes, and</w:t>
      </w:r>
    </w:p>
    <w:p>
      <w:pPr>
        <w:spacing w:after="0" w:line="130" w:lineRule="exact"/>
        <w:rPr>
          <w:rFonts w:ascii="Times New Roman" w:cs="Times New Roman" w:eastAsia="Times New Roman" w:hAnsi="Times New Roman"/>
          <w:sz w:val="18"/>
          <w:szCs w:val="18"/>
          <w:color w:val="auto"/>
        </w:rPr>
      </w:pPr>
    </w:p>
    <w:p>
      <w:pPr>
        <w:ind w:left="960" w:right="12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 of the remaining scheduled payments of principal and interest thereon discounted to the redemption date (assuming the Notes matured on the Par Call Date) on a semi-annual basis (assuming a 360-day year consisting of twelve 30-day months) at the applicable treasury rate plus 25 basis points less (ii) interest accrued to the date of redemption, plus, in either case, any accrued and unpaid interest on the principal amount of the Notes, if any, to, but not including, the date of redemption.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after the Par Call Date, Cemex may, at its option, redeem the Notes, in whole or in part, at any time and from time to time at a redemption price equal to 100% of the principal amount of such Notes plus any accrued and unpaid interest on the principal amount of the Notes, if any, to, but not including, the date of redemption. In addition, in the event of certain changes in the applicable rate of withholding taxes on interest (or amounts deemed interest), Cemex may redeem the Notes, in whole but not in part, at a price equal to 100% of the principal amount of such Notes plus accrued and unpaid interest and any additional amounts thereon to, but excluding, the redemption date.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If a Change of Control Triggering Event (as defined in the First Supplemental Indenture) occurs, Cemex shall offer to purchase all or a portion (in integral multiples of $1,000) of each holder’s Notes at a purchase price equal to 101%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not including, the date of purchase, on the terms and conditions set forth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contains customary events of default.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Cemex expects to use the net proceeds from the sale of the Notes for general corporate purposes, which may include the repayment of indebtedness and other financial obligations (including repayment of all or a portion of the outstanding borrowings under certain of its existing credit facilities).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text of (i) the Underwriting Agreement, a copy of which is filed herewith as Exhibit 1.1 and incorporated herein by reference, (ii) the Base Indenture, a copy of which is filed herewith as Exhibit 4.1 and incorporated herein by reference, (iii) the First Supplemental Indenture, a copy of which is filed herewith as Exhibit 4.2 and incorporated herein by reference, and (iv) the Form of the 5.750% Senior Notes due 2036, a copy of which is filed herewith as Exhibit 4.3 and incorporated herein by reference.</w:t>
      </w:r>
    </w:p>
    <w:p>
      <w:pPr>
        <w:sectPr>
          <w:pgSz w:w="11900" w:h="16838" w:orient="portrait"/>
          <w:cols w:equalWidth="0" w:num="1">
            <w:col w:w="11000"/>
          </w:cols>
          <w:pgMar w:left="440" w:top="268"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Cemex, S.A.B. de C.V. has duly caused this report to be signed on its behalf by the undersigned, thereunto duly authorized.</w:t>
      </w:r>
    </w:p>
    <w:p>
      <w:pPr>
        <w:spacing w:after="0" w:line="18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Cemex,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17145</wp:posOffset>
            </wp:positionV>
            <wp:extent cx="2237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(Registrant)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0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By:  /s/ Jaime Martínez Merla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17145</wp:posOffset>
            </wp:positionV>
            <wp:extent cx="2237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Name: Jaime Martínez Merla</w:t>
      </w:r>
    </w:p>
    <w:p>
      <w:pPr>
        <w:spacing w:after="0" w:line="2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Title: Chief Comptroller</w:t>
      </w:r>
    </w:p>
    <w:p>
      <w:pPr>
        <w:sectPr>
          <w:pgSz w:w="11900" w:h="16838" w:orient="portrait"/>
          <w:cols w:equalWidth="0" w:num="1">
            <w:col w:w="10980"/>
          </w:cols>
          <w:pgMar w:left="440" w:top="266"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0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20" w:type="dxa"/>
            <w:vAlign w:val="bottom"/>
            <w:gridSpan w:val="9"/>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spacing w:after="0"/>
              <w:rPr>
                <w:sz w:val="22"/>
                <w:szCs w:val="22"/>
                <w:color w:val="auto"/>
              </w:rPr>
            </w:pPr>
          </w:p>
        </w:tc>
        <w:tc>
          <w:tcPr>
            <w:tcW w:w="908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0000EE"/>
              </w:rPr>
              <w:t>Underwriting Agreement, dated as of June 2, 2026, among Cemex, S.A.B. de C.V. and BofA Securities, Inc., Citigroup</w:t>
            </w:r>
          </w:p>
        </w:tc>
      </w:tr>
      <w:tr>
        <w:trPr>
          <w:trHeight w:val="20"/>
        </w:trPr>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Global Markets Inc., Credit Agricole Securities (USA) Inc., J.P. Morgan Securities LLC, Mizuho Securities USA LLC and</w:t>
            </w:r>
          </w:p>
        </w:tc>
        <w:tc>
          <w:tcPr>
            <w:tcW w:w="240" w:type="dxa"/>
            <w:vAlign w:val="bottom"/>
            <w:gridSpan w:val="3"/>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SMBC Nikko Securities America, Inc.</w:t>
            </w:r>
          </w:p>
        </w:tc>
        <w:tc>
          <w:tcPr>
            <w:tcW w:w="6300" w:type="dxa"/>
            <w:vAlign w:val="bottom"/>
            <w:gridSpan w:val="10"/>
          </w:tcPr>
          <w:p>
            <w:pPr>
              <w:spacing w:after="0"/>
              <w:rPr>
                <w:sz w:val="17"/>
                <w:szCs w:val="17"/>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tcPr>
          <w:p>
            <w:pPr>
              <w:spacing w:after="0"/>
              <w:rPr>
                <w:sz w:val="24"/>
                <w:szCs w:val="24"/>
                <w:color w:val="auto"/>
              </w:rPr>
            </w:pPr>
          </w:p>
        </w:tc>
        <w:tc>
          <w:tcPr>
            <w:tcW w:w="9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Base Indenture, dated as of June 5, 2026, between Cemex, S.A.B. de C.V., as issuer, and The Bank of New York Mellon, as</w:t>
            </w:r>
          </w:p>
        </w:tc>
      </w:tr>
      <w:tr>
        <w:trPr>
          <w:trHeight w:val="196"/>
        </w:trPr>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trustee.</w:t>
            </w:r>
          </w:p>
        </w:tc>
        <w:tc>
          <w:tcPr>
            <w:tcW w:w="20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tcPr>
          <w:p>
            <w:pPr>
              <w:spacing w:after="0"/>
              <w:rPr>
                <w:sz w:val="24"/>
                <w:szCs w:val="24"/>
                <w:color w:val="auto"/>
              </w:rPr>
            </w:pPr>
          </w:p>
        </w:tc>
        <w:tc>
          <w:tcPr>
            <w:tcW w:w="89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First Supplemental Indenture, dated as of June 5, 2026, among Cemex, S.A.B. de C.V., as issuer, Cemex Corp., as guarantor,</w:t>
            </w:r>
          </w:p>
        </w:tc>
        <w:tc>
          <w:tcPr>
            <w:tcW w:w="10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and The Bank of New York Mellon, as trustee.</w:t>
            </w:r>
          </w:p>
        </w:tc>
        <w:tc>
          <w:tcPr>
            <w:tcW w:w="5720" w:type="dxa"/>
            <w:vAlign w:val="bottom"/>
            <w:gridSpan w:val="9"/>
          </w:tcPr>
          <w:p>
            <w:pPr>
              <w:spacing w:after="0"/>
              <w:rPr>
                <w:sz w:val="17"/>
                <w:szCs w:val="17"/>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Pr>
          <w:p>
            <w:pPr>
              <w:spacing w:after="0"/>
              <w:rPr>
                <w:sz w:val="24"/>
                <w:szCs w:val="24"/>
                <w:color w:val="auto"/>
              </w:rPr>
            </w:pPr>
          </w:p>
        </w:tc>
        <w:tc>
          <w:tcPr>
            <w:tcW w:w="4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of 5.750% Senior Notes due 2036 (included in Exhibit 4.2).</w:t>
            </w:r>
          </w:p>
        </w:tc>
        <w:tc>
          <w:tcPr>
            <w:tcW w:w="4340" w:type="dxa"/>
            <w:vAlign w:val="bottom"/>
            <w:gridSpan w:val="6"/>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tcPr>
          <w:p>
            <w:pPr>
              <w:spacing w:after="0"/>
              <w:rPr>
                <w:sz w:val="24"/>
                <w:szCs w:val="24"/>
                <w:color w:val="auto"/>
              </w:rPr>
            </w:pPr>
          </w:p>
        </w:tc>
        <w:tc>
          <w:tcPr>
            <w:tcW w:w="2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Opinion of Roger Saldaña Madero.</w:t>
            </w:r>
          </w:p>
        </w:tc>
        <w:tc>
          <w:tcPr>
            <w:tcW w:w="6540" w:type="dxa"/>
            <w:vAlign w:val="bottom"/>
            <w:gridSpan w:val="11"/>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tcPr>
          <w:p>
            <w:pPr>
              <w:spacing w:after="0"/>
              <w:rPr>
                <w:sz w:val="24"/>
                <w:szCs w:val="24"/>
                <w:color w:val="auto"/>
              </w:rPr>
            </w:pPr>
          </w:p>
        </w:tc>
        <w:tc>
          <w:tcPr>
            <w:tcW w:w="9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Opinion of Skadden, Arps, Slate, Meagher &amp; Flom LLP.</w:t>
            </w:r>
          </w:p>
        </w:tc>
      </w:tr>
      <w:tr>
        <w:trPr>
          <w:trHeight w:val="20"/>
        </w:trPr>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40" w:type="dxa"/>
            <w:vAlign w:val="bottom"/>
          </w:tcPr>
          <w:p>
            <w:pPr>
              <w:spacing w:after="0"/>
              <w:rPr>
                <w:sz w:val="24"/>
                <w:szCs w:val="24"/>
                <w:color w:val="auto"/>
              </w:rPr>
            </w:pPr>
          </w:p>
        </w:tc>
        <w:tc>
          <w:tcPr>
            <w:tcW w:w="9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Roger Saldaña Madero (included in Exhibit 5.1).</w:t>
            </w:r>
          </w:p>
        </w:tc>
      </w:tr>
      <w:tr>
        <w:trPr>
          <w:trHeight w:val="20"/>
        </w:trPr>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40" w:type="dxa"/>
            <w:vAlign w:val="bottom"/>
            <w:gridSpan w:val="6"/>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40" w:type="dxa"/>
            <w:vAlign w:val="bottom"/>
          </w:tcPr>
          <w:p>
            <w:pPr>
              <w:spacing w:after="0"/>
              <w:rPr>
                <w:sz w:val="24"/>
                <w:szCs w:val="24"/>
                <w:color w:val="auto"/>
              </w:rPr>
            </w:pPr>
          </w:p>
        </w:tc>
        <w:tc>
          <w:tcPr>
            <w:tcW w:w="9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Skadden, Arps, Slate, Meagher &amp; Flom LLP (included in Exhibit 5.2).</w:t>
            </w:r>
          </w:p>
        </w:tc>
      </w:tr>
      <w:tr>
        <w:trPr>
          <w:trHeight w:val="20"/>
        </w:trPr>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CEMEX, S.A.B. DE C.V.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$1,500,000,000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5.750% SENIOR NOTES DUE 2036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Agricole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Cemex, S.A.B. de C.V., a publicly traded variable stock corporation (</w:t>
      </w:r>
      <w:r>
        <w:rPr>
          <w:rFonts w:ascii="Times New Roman" w:cs="Times New Roman" w:eastAsia="Times New Roman" w:hAnsi="Times New Roman"/>
          <w:sz w:val="18"/>
          <w:szCs w:val="18"/>
          <w:i w:val="1"/>
          <w:iCs w:val="1"/>
          <w:color w:val="auto"/>
        </w:rPr>
        <w:t>sociedad anónima bursátil de capital variable</w:t>
      </w:r>
      <w:r>
        <w:rPr>
          <w:rFonts w:ascii="Times New Roman" w:cs="Times New Roman" w:eastAsia="Times New Roman" w:hAnsi="Times New Roman"/>
          <w:sz w:val="18"/>
          <w:szCs w:val="18"/>
          <w:color w:val="auto"/>
        </w:rPr>
        <w:t>) organized under the laws of Mexico (“</w:t>
      </w:r>
      <w:r>
        <w:rPr>
          <w:rFonts w:ascii="Times New Roman" w:cs="Times New Roman" w:eastAsia="Times New Roman" w:hAnsi="Times New Roman"/>
          <w:sz w:val="18"/>
          <w:szCs w:val="18"/>
          <w:u w:val="single" w:color="auto"/>
          <w:color w:val="auto"/>
        </w:rPr>
        <w:t>Cemex</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are acting as representatives, $1,500,000,000 aggregate principal amount of its 5.750% senior notes due 2036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Notes will be unconditionally guaranteed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by Cemex Corp. (the “</w:t>
      </w:r>
      <w:r>
        <w:rPr>
          <w:rFonts w:ascii="Times New Roman" w:cs="Times New Roman" w:eastAsia="Times New Roman" w:hAnsi="Times New Roman"/>
          <w:sz w:val="18"/>
          <w:szCs w:val="18"/>
          <w:u w:val="single" w:color="auto"/>
          <w:color w:val="auto"/>
        </w:rPr>
        <w:t>Note Guarantor</w:t>
      </w:r>
      <w:r>
        <w:rPr>
          <w:rFonts w:ascii="Times New Roman" w:cs="Times New Roman" w:eastAsia="Times New Roman" w:hAnsi="Times New Roman"/>
          <w:sz w:val="18"/>
          <w:szCs w:val="18"/>
          <w:color w:val="auto"/>
        </w:rPr>
        <w:t>”). The Securities will be issued pursuant to the indenture, to be dated as of June 5, 2026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by and between Cemex and The Bank of New York Mellon, a New York banking corporation,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the first supplemental indenture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be dated as of June 5, 2026, by and among Cemex, the Note Guarantor and the Trustee.</w:t>
      </w:r>
    </w:p>
    <w:p>
      <w:pPr>
        <w:spacing w:after="0" w:line="18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To the extent there are no additional parties listed on Schedule I other than you, the term Representatives as used herein shall mean you, as Underwriters, and the terms Representatives and Underwriters shall mean either the singular or plural as the context requires. The use of the neuter in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include the feminine and masculine wherever appropriate. Certain terms used herein are defined in Section 28 hereof.</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referred to in paragraph 1(a) hereof, including the exhibits, schedules and financial statements and any prospectus supplement relating to the Securities that is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Rule 424(b) under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deemed part of such registration statement pursuant to Rule 430B under the Securities Act, as amended on each date and time that the Registration Statement and any post-effective amendment or amendments thereto became or become effective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base prospectus referred to in paragraph 1(a) hereof contained in the Registration Statement at the date and time that this Agreement is executed and delivered by the parties hereto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any preliminary prospectus supplement to the Base Prospectus referred to in paragraph 1(a) hereof which is used prior to the filing of the Final Prospectus, together with the Base Prospectus; and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means the prospectus supplement relating to the Securities that is first filed pursuant to Rule 424(b) under the Securities Act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after the Execution Time, together with the Base Prospectus. The Base Prospectus, jointly with any Preliminary Prospectus and Final Prospectus, will be hereinafter referred as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 w:name="page6"/>
    <w:bookmarkEnd w:id="5"/>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reference herein to the Registration Statement, the Base Prospectus, any Preliminary Prospectus or the Final Prospectus shall be deemed to refer to and include the documents incorporated by reference therein pursuant to Item 6 of Form F-3 which were filed under the Securities Exchange Act of 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w:t>
      </w:r>
    </w:p>
    <w:p>
      <w:pPr>
        <w:spacing w:after="0" w:line="19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shall mean (i) the Base Prospectus, (ii) the Preliminary Prospectus used most recently prior to the Execution Time, (iii) any issuer free writing prospectus, as defined in Rule 433 under the Securities Act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identified in Schedule II hereto, (iv) the final term sheet prepared and filed pursuant to Section 5(b) hereto and (v) any other free writing prospectus, as defined in Rule 405 under the Securities Act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that the parties hereto shall hereafter expressly agree in writing to treat as part of the Disclosure Package.</w:t>
      </w:r>
    </w:p>
    <w:p>
      <w:pPr>
        <w:spacing w:after="0" w:line="18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Cemex and the Note Guarantor, jointly and severally, represent and warrant to each Underwriter as set forth below in this Section 1.</w:t>
      </w:r>
    </w:p>
    <w:p>
      <w:pPr>
        <w:spacing w:after="0" w:line="54" w:lineRule="exact"/>
        <w:rPr>
          <w:sz w:val="20"/>
          <w:szCs w:val="20"/>
          <w:color w:val="auto"/>
        </w:rPr>
      </w:pPr>
    </w:p>
    <w:p>
      <w:pPr>
        <w:ind w:left="440" w:right="40" w:firstLine="529"/>
        <w:spacing w:after="0" w:line="253" w:lineRule="auto"/>
        <w:rPr>
          <w:sz w:val="20"/>
          <w:szCs w:val="20"/>
          <w:color w:val="auto"/>
        </w:rPr>
      </w:pPr>
      <w:r>
        <w:rPr>
          <w:rFonts w:ascii="Times New Roman" w:cs="Times New Roman" w:eastAsia="Times New Roman" w:hAnsi="Times New Roman"/>
          <w:sz w:val="18"/>
          <w:szCs w:val="18"/>
          <w:color w:val="auto"/>
        </w:rPr>
        <w:t>(a)  Cemex meets the requirements for use of Form F-3 under the Securities Act and has prepared and filed with the Commission an automatic shelf registration statement (as defined in Rule 405 under the Securities Act) (with file number 333-296381) on Form F-3, including a related Base Prospectus, for the registration of the offering and sale of the Securities under the Securities Act. Such Registration Statement, including any amendments thereto filed prior to the Execution Time, became effective upon filing. Cemex may have filed with the Commission, as part of an amendment to the Registration Statement or pursuant to Rule 424(b), preliminary prospectus supplements relating to the Securities, each of which has previously been furnished to you. Cemex will file with the Commission a final prospectus supplement relating to the Securities in accordance with Rule 424(b) after the Execution Time. As filed, such final prospectus supplement shall contain all information required by the Securities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Cemex has advised you, prior to the Execution Time, will be included or made therein. The Registration Statement, at the Execution Time, meets the requirements set forth in Rule 415(a)(1)(x) under the Securities Act. The initial Effective Date of the Registration Statement was not earlier than the date three years before the Execution Time.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6" w:name="page7"/>
    <w:bookmarkEnd w:id="6"/>
    <w:p>
      <w:pPr>
        <w:ind w:firstLine="52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 On each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Securities Act and the Exchange Act, and the respective rules thereunder, and Trust Indenture Act of 1939, as amended, and the rules and regulations promulgated thereunder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and (ii) when filed with the Commission, the documents incorporated by reference in each of the Registration Statement, the Base Prospectus, any Preliminary Prospectus and the Final Prospectus, conformed in all material respects to the requirements of the Exchange Act;</w:t>
      </w:r>
    </w:p>
    <w:p>
      <w:pPr>
        <w:spacing w:after="0" w:line="79" w:lineRule="exact"/>
        <w:rPr>
          <w:sz w:val="20"/>
          <w:szCs w:val="20"/>
          <w:color w:val="auto"/>
        </w:rPr>
      </w:pPr>
    </w:p>
    <w:p>
      <w:pPr>
        <w:ind w:firstLine="529"/>
        <w:spacing w:after="0" w:line="253" w:lineRule="auto"/>
        <w:rPr>
          <w:sz w:val="20"/>
          <w:szCs w:val="20"/>
          <w:color w:val="auto"/>
        </w:rPr>
      </w:pPr>
      <w:r>
        <w:rPr>
          <w:rFonts w:ascii="Times New Roman" w:cs="Times New Roman" w:eastAsia="Times New Roman" w:hAnsi="Times New Roman"/>
          <w:sz w:val="18"/>
          <w:szCs w:val="18"/>
          <w:color w:val="auto"/>
        </w:rPr>
        <w:t xml:space="preserve">(c)  (i)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(ii) on the Effective Date and on the Closing Date, the Indenture did or will comply in all material respects with the applicable requirements of the Trust Indenture Act and the rules thereunder; and (iii) on the date of any filing pursuant to Rule 424(b)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Cemex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Cemex by or on behalf of any Underwriter through the Representatives specifically for inclusion in the Registration Statement or the Final Prospectus (or any supplement thereto), it being understood and agreed that the only such information furnished by any Underwriter consists of the information described as such in Section 8(b) hereof.</w:t>
      </w:r>
    </w:p>
    <w:p>
      <w:pPr>
        <w:spacing w:after="0" w:line="82" w:lineRule="exact"/>
        <w:rPr>
          <w:sz w:val="20"/>
          <w:szCs w:val="20"/>
          <w:color w:val="auto"/>
        </w:rPr>
      </w:pPr>
    </w:p>
    <w:p>
      <w:pPr>
        <w:ind w:right="80" w:firstLine="529"/>
        <w:spacing w:after="0" w:line="255" w:lineRule="auto"/>
        <w:rPr>
          <w:sz w:val="20"/>
          <w:szCs w:val="20"/>
          <w:color w:val="auto"/>
        </w:rPr>
      </w:pPr>
      <w:r>
        <w:rPr>
          <w:rFonts w:ascii="Times New Roman" w:cs="Times New Roman" w:eastAsia="Times New Roman" w:hAnsi="Times New Roman"/>
          <w:sz w:val="18"/>
          <w:szCs w:val="18"/>
          <w:color w:val="auto"/>
        </w:rPr>
        <w:t>(d)  As of the Execution Time, (i) the Disclosure Package and (ii) any deal road show presentations (electronic or otherwise), when taken together as a whole with the Disclosure Package, do not, and at the Closing Date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Cemex by any Underwriter through the Representatives specifically for use therein, it being understood and agreed that the only such information furnished by or on behalf of any Underwriter consists of the information described as such in Section 8(b) hereof.</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7" w:name="page8"/>
    <w:bookmarkEnd w:id="7"/>
    <w:p>
      <w:pPr>
        <w:ind w:right="40" w:firstLine="52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(iii) at the time Cemex or any person acting on its behalf (within the meaning, for this clause only, of Rule 163(c)) made any offer relating to the Securities in reliance on the exemption in Rule 163, and (iv) at the Execution Time (with such date being used as the determination date for purposes of this clause (iv)), Cemex was or is (as the case may be) a “well-known seasoned issuer” as defined in Rule 405. Cemex agrees to pay the fees required by the Commission relating to the Securities within the time required by Rule 456(b)(1) without regard to the proviso therein and otherwise in accordance with Rules 456(b) and 457(r).</w:t>
      </w:r>
    </w:p>
    <w:p>
      <w:pPr>
        <w:spacing w:after="0" w:line="79" w:lineRule="exact"/>
        <w:rPr>
          <w:sz w:val="20"/>
          <w:szCs w:val="20"/>
          <w:color w:val="auto"/>
        </w:rPr>
      </w:pPr>
    </w:p>
    <w:p>
      <w:pPr>
        <w:ind w:right="40" w:firstLine="529"/>
        <w:spacing w:after="0" w:line="261" w:lineRule="auto"/>
        <w:rPr>
          <w:sz w:val="20"/>
          <w:szCs w:val="20"/>
          <w:color w:val="auto"/>
        </w:rPr>
      </w:pPr>
      <w:r>
        <w:rPr>
          <w:rFonts w:ascii="Times New Roman" w:cs="Times New Roman" w:eastAsia="Times New Roman" w:hAnsi="Times New Roman"/>
          <w:sz w:val="18"/>
          <w:szCs w:val="18"/>
          <w:color w:val="auto"/>
        </w:rPr>
        <w:t xml:space="preserve">(f)  (i) At the earliest time after the filing of the Registration Statement that Cemex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and (ii) as of the Execution Time (with such date being used as the determination date for purposes of this clause (ii)), Cemex was not and is not an Ineligible Issuer (as defined in Rule 405), without taking account of any determination by the Commission pursuant to Rule 405 that it is not necessary that Cemex be considered an Ineligible Issuer.</w:t>
      </w:r>
    </w:p>
    <w:p>
      <w:pPr>
        <w:spacing w:after="0" w:line="74" w:lineRule="exact"/>
        <w:rPr>
          <w:sz w:val="20"/>
          <w:szCs w:val="20"/>
          <w:color w:val="auto"/>
        </w:rPr>
      </w:pPr>
    </w:p>
    <w:p>
      <w:pPr>
        <w:ind w:firstLine="529"/>
        <w:spacing w:after="0" w:line="256" w:lineRule="auto"/>
        <w:rPr>
          <w:sz w:val="20"/>
          <w:szCs w:val="20"/>
          <w:color w:val="auto"/>
        </w:rPr>
      </w:pPr>
      <w:r>
        <w:rPr>
          <w:rFonts w:ascii="Times New Roman" w:cs="Times New Roman" w:eastAsia="Times New Roman" w:hAnsi="Times New Roman"/>
          <w:sz w:val="18"/>
          <w:szCs w:val="18"/>
          <w:color w:val="auto"/>
        </w:rPr>
        <w:t>(g)  Each Issuer Free Writing Prospectus does not include any information that conflicts with the information contained in the Registration Statement, including any document incorporated by reference therein, and any prospectus supplement deemed to be a part thereof that has not been superseded or modified. The foregoing sentence does not apply to statements in or omissions from any Issuer Free Writing Prospectus based upon and in conformity with written information furnished to Cemex by any Underwriter through the Representatives specifically for use therein, it being understood and agreed that the only such information furnished by or on behalf of any Underwriter consists of the information described as such in Section 8(b) hereof.</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   [Reserved.]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Cemex is a “foreign private issuer” as defined in Rule 405 under the Securities Act.</w:t>
      </w:r>
    </w:p>
    <w:p>
      <w:pPr>
        <w:spacing w:after="0" w:line="117" w:lineRule="exact"/>
        <w:rPr>
          <w:sz w:val="20"/>
          <w:szCs w:val="20"/>
          <w:color w:val="auto"/>
        </w:rPr>
      </w:pPr>
    </w:p>
    <w:p>
      <w:pPr>
        <w:ind w:right="60" w:firstLine="529"/>
        <w:spacing w:after="0" w:line="266" w:lineRule="auto"/>
        <w:rPr>
          <w:sz w:val="20"/>
          <w:szCs w:val="20"/>
          <w:color w:val="auto"/>
        </w:rPr>
      </w:pPr>
      <w:r>
        <w:rPr>
          <w:rFonts w:ascii="Times New Roman" w:cs="Times New Roman" w:eastAsia="Times New Roman" w:hAnsi="Times New Roman"/>
          <w:sz w:val="18"/>
          <w:szCs w:val="18"/>
          <w:color w:val="auto"/>
        </w:rPr>
        <w:t>(j)  Neither Cemex nor the Note Guarantor is, nor after giving effect to the offering and sale of the Securities and the application of the proceeds thereof as described in the Disclosure Package and the Final Prospectus, will be, an “investment company” as defined in the Investment Company Act.</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20"/>
          </w:cols>
          <w:pgMar w:left="880" w:top="270" w:right="499" w:bottom="1440" w:gutter="0" w:footer="0" w:header="0"/>
        </w:sectPr>
      </w:pPr>
    </w:p>
    <w:bookmarkStart w:id="8" w:name="page9"/>
    <w:bookmarkEnd w:id="8"/>
    <w:p>
      <w:pPr>
        <w:ind w:right="200" w:firstLine="52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  Neither Cemex nor the Note Guarantor has paid or agreed to pay to any person any compensation for soliciting another to purchase any securities of Cemex or such Note Guarantor (except as contemplated in this Agreement).</w:t>
      </w:r>
    </w:p>
    <w:p>
      <w:pPr>
        <w:spacing w:after="0" w:line="54" w:lineRule="exact"/>
        <w:rPr>
          <w:sz w:val="20"/>
          <w:szCs w:val="20"/>
          <w:color w:val="auto"/>
        </w:rPr>
      </w:pPr>
    </w:p>
    <w:p>
      <w:pPr>
        <w:jc w:val="both"/>
        <w:ind w:right="280" w:firstLine="529"/>
        <w:spacing w:after="0" w:line="266" w:lineRule="auto"/>
        <w:rPr>
          <w:sz w:val="20"/>
          <w:szCs w:val="20"/>
          <w:color w:val="auto"/>
        </w:rPr>
      </w:pPr>
      <w:r>
        <w:rPr>
          <w:rFonts w:ascii="Times New Roman" w:cs="Times New Roman" w:eastAsia="Times New Roman" w:hAnsi="Times New Roman"/>
          <w:sz w:val="18"/>
          <w:szCs w:val="18"/>
          <w:color w:val="auto"/>
        </w:rPr>
        <w:t>(l)  Neither Cemex nor the Note Guarantor has taken, directly or indirectly, any action designed to or that has constituted or that might reasonably be expected to cause or result in, under the Exchange Act or otherwise, stabilization or manipulation of the price of any security of Cemex or such Note Guarantor to facilitate the sale or resale of the Securities.</w:t>
      </w:r>
    </w:p>
    <w:p>
      <w:pPr>
        <w:spacing w:after="0" w:line="68" w:lineRule="exact"/>
        <w:rPr>
          <w:sz w:val="20"/>
          <w:szCs w:val="20"/>
          <w:color w:val="auto"/>
        </w:rPr>
      </w:pPr>
    </w:p>
    <w:p>
      <w:pPr>
        <w:ind w:right="40" w:firstLine="529"/>
        <w:spacing w:after="0" w:line="258" w:lineRule="auto"/>
        <w:rPr>
          <w:sz w:val="20"/>
          <w:szCs w:val="20"/>
          <w:color w:val="auto"/>
        </w:rPr>
      </w:pPr>
      <w:r>
        <w:rPr>
          <w:rFonts w:ascii="Times New Roman" w:cs="Times New Roman" w:eastAsia="Times New Roman" w:hAnsi="Times New Roman"/>
          <w:sz w:val="18"/>
          <w:szCs w:val="18"/>
          <w:color w:val="auto"/>
        </w:rPr>
        <w:t>(m)  Each of Cemex and the Note Guarantor has been duly organized and is validly existing and, if applicable, in good standing under the laws of the jurisdiction in which it is chartered or organized, with power and authority to own or lease, as the case may be, and to operate its properties and conduct its businesses as described in the Disclosure Package and the Final Prospectus, and, if applicable, is duly qualified to do business as a foreign corporation and is in good standing under the laws of each jurisdiction that requires such qualification or such person is subject to no material liability or disability by reason of the failure to be so qualified.</w:t>
      </w:r>
    </w:p>
    <w:p>
      <w:pPr>
        <w:spacing w:after="0" w:line="75" w:lineRule="exact"/>
        <w:rPr>
          <w:sz w:val="20"/>
          <w:szCs w:val="20"/>
          <w:color w:val="auto"/>
        </w:rPr>
      </w:pPr>
    </w:p>
    <w:p>
      <w:pPr>
        <w:ind w:firstLine="529"/>
        <w:spacing w:after="0" w:line="253" w:lineRule="auto"/>
        <w:rPr>
          <w:sz w:val="20"/>
          <w:szCs w:val="20"/>
          <w:color w:val="auto"/>
        </w:rPr>
      </w:pPr>
      <w:r>
        <w:rPr>
          <w:rFonts w:ascii="Times New Roman" w:cs="Times New Roman" w:eastAsia="Times New Roman" w:hAnsi="Times New Roman"/>
          <w:sz w:val="18"/>
          <w:szCs w:val="18"/>
          <w:color w:val="auto"/>
        </w:rPr>
        <w:t>(n)  Since the date of the most recent financial statements of Cemex included or incorporated by reference in each of the Registration Statement and the Disclosure Package, (i) there has not been any material change in the capital stock, long-term debt, notes payable or current portion of long-term debt of Cemex or any of its Subsidiaries, or any dividend or distribution of any kind declared, set aside for payment, paid or made by Cemex on any class of capital stock, or any material adverse change, or any development involving a prospective material adverse change, in or affecting the business, properties, management, condition (financial or otherwise), stockholders’ equity, results of operations or prospects of Cemex and its Subsidiaries taken as a whole (a “Material Adverse Change”); (ii) neither Cemex nor any of its Subsidiaries has entered into any transaction or agreement that is material to Cemex and its Subsidiaries individually or taken as a whole or incurred any liability or obligation, direct or contingent, that is material to Cemex and its Subsidiaries individually or taken as a whole, whether or not arising from transactions in the ordinary course of business; and (iii) neither Cemex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in each case, other than as described in the Pricing Disclosure Package.</w:t>
      </w:r>
    </w:p>
    <w:p>
      <w:pPr>
        <w:spacing w:after="0" w:line="82" w:lineRule="exact"/>
        <w:rPr>
          <w:sz w:val="20"/>
          <w:szCs w:val="20"/>
          <w:color w:val="auto"/>
        </w:rPr>
      </w:pPr>
    </w:p>
    <w:p>
      <w:pPr>
        <w:ind w:right="280" w:firstLine="529"/>
        <w:spacing w:after="0" w:line="281" w:lineRule="auto"/>
        <w:rPr>
          <w:sz w:val="20"/>
          <w:szCs w:val="20"/>
          <w:color w:val="auto"/>
        </w:rPr>
      </w:pPr>
      <w:r>
        <w:rPr>
          <w:rFonts w:ascii="Times New Roman" w:cs="Times New Roman" w:eastAsia="Times New Roman" w:hAnsi="Times New Roman"/>
          <w:sz w:val="17"/>
          <w:szCs w:val="17"/>
          <w:color w:val="auto"/>
        </w:rPr>
        <w:t>(o)  All the outstanding shares of capital stock or other equity interests of Cemex have been duly authorized and validly issued and are fully paid and nonassessable, and, except as otherwise set forth in the Disclosure Package and the Final Prospectus, all outstanding shares of capital stock or other equity interests of Cemex’s significant Subsidiaries (as defined in Rule 1-02(w) of Regulation S-X) are owned by Cemex either directly or through wholly-owned and majority-owned Subsidiaries, free and clear of any security interest, claim, lien or encumbrance.</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ind w:left="5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   [Reserved.]</w:t>
      </w:r>
    </w:p>
    <w:p>
      <w:pPr>
        <w:spacing w:after="0" w:line="117" w:lineRule="exact"/>
        <w:rPr>
          <w:sz w:val="20"/>
          <w:szCs w:val="20"/>
          <w:color w:val="auto"/>
        </w:rPr>
      </w:pPr>
    </w:p>
    <w:p>
      <w:pPr>
        <w:ind w:left="4" w:right="20" w:firstLine="529"/>
        <w:spacing w:after="0" w:line="255" w:lineRule="auto"/>
        <w:rPr>
          <w:sz w:val="20"/>
          <w:szCs w:val="20"/>
          <w:color w:val="auto"/>
        </w:rPr>
      </w:pPr>
      <w:r>
        <w:rPr>
          <w:rFonts w:ascii="Times New Roman" w:cs="Times New Roman" w:eastAsia="Times New Roman" w:hAnsi="Times New Roman"/>
          <w:sz w:val="18"/>
          <w:szCs w:val="18"/>
          <w:color w:val="auto"/>
        </w:rPr>
        <w:t>(q)  (i) The statements set forth in the Preliminary Prospectus and the Final Prospectus under the headings “Taxation”, “Description of the Notes” and “Description of Debt Securities and Guarantees” and (ii) the statements in Cemex’s annual report on Form 20-F for the year ended December 31, 2025 filed on April 24, 2026 (the “</w:t>
      </w:r>
      <w:r>
        <w:rPr>
          <w:rFonts w:ascii="Times New Roman" w:cs="Times New Roman" w:eastAsia="Times New Roman" w:hAnsi="Times New Roman"/>
          <w:sz w:val="18"/>
          <w:szCs w:val="18"/>
          <w:u w:val="single" w:color="auto"/>
          <w:color w:val="auto"/>
        </w:rPr>
        <w:t>2025 Annual Report</w:t>
      </w:r>
      <w:r>
        <w:rPr>
          <w:rFonts w:ascii="Times New Roman" w:cs="Times New Roman" w:eastAsia="Times New Roman" w:hAnsi="Times New Roman"/>
          <w:sz w:val="18"/>
          <w:szCs w:val="18"/>
          <w:color w:val="auto"/>
        </w:rPr>
        <w:t>”), under “Item 4—Information on the Company—Regulatory Matters and Legal Proceedings,” together with the statements in Cemex’s report on Form 6-K furnished to the Commission on June 1, 2026 (the “</w:t>
      </w:r>
      <w:r>
        <w:rPr>
          <w:rFonts w:ascii="Times New Roman" w:cs="Times New Roman" w:eastAsia="Times New Roman" w:hAnsi="Times New Roman"/>
          <w:sz w:val="18"/>
          <w:szCs w:val="18"/>
          <w:u w:val="single" w:color="auto"/>
          <w:color w:val="auto"/>
        </w:rPr>
        <w:t>June 6-K</w:t>
      </w:r>
      <w:r>
        <w:rPr>
          <w:rFonts w:ascii="Times New Roman" w:cs="Times New Roman" w:eastAsia="Times New Roman" w:hAnsi="Times New Roman"/>
          <w:sz w:val="18"/>
          <w:szCs w:val="18"/>
          <w:color w:val="auto"/>
        </w:rPr>
        <w:t>”), under the heading “Recent Developments—Recent Developments Relating to Our Regulatory Matters and Legal Proceedings”, in each case incorporated by reference into the Disclosure Package and the Final Prospectus insofar as they purport to describe laws, legal matters, documents and legal proceedings referred to therein, fairly summarize the matters therein described in all material respects.</w:t>
      </w:r>
    </w:p>
    <w:p>
      <w:pPr>
        <w:spacing w:after="0" w:line="81" w:lineRule="exact"/>
        <w:rPr>
          <w:sz w:val="20"/>
          <w:szCs w:val="20"/>
          <w:color w:val="auto"/>
        </w:rPr>
      </w:pPr>
    </w:p>
    <w:p>
      <w:pPr>
        <w:ind w:left="4" w:right="40" w:firstLine="529"/>
        <w:spacing w:after="0" w:line="267" w:lineRule="auto"/>
        <w:rPr>
          <w:sz w:val="20"/>
          <w:szCs w:val="20"/>
          <w:color w:val="auto"/>
        </w:rPr>
      </w:pPr>
      <w:r>
        <w:rPr>
          <w:rFonts w:ascii="Times New Roman" w:cs="Times New Roman" w:eastAsia="Times New Roman" w:hAnsi="Times New Roman"/>
          <w:sz w:val="17"/>
          <w:szCs w:val="17"/>
          <w:color w:val="auto"/>
        </w:rPr>
        <w:t xml:space="preserve">(r)  (i) This Agreement has been duly authorized, executed and delivered by Cemex and the Note Guarantor; (ii) the Base Indenture has been duly authorized by Cemex and, assuming due authorization, execution and delivery thereof by the Trustee, when executed and delivered by Cemex, will constitute a legal, valid, binding instrument, enforceable against Cemex in accordance with its terms (subject, as to the enforcement of remedies, to applicable bankruptcy, reorganization, insolvency, </w:t>
      </w:r>
      <w:r>
        <w:rPr>
          <w:rFonts w:ascii="Times New Roman" w:cs="Times New Roman" w:eastAsia="Times New Roman" w:hAnsi="Times New Roman"/>
          <w:sz w:val="17"/>
          <w:szCs w:val="17"/>
          <w:i w:val="1"/>
          <w:iCs w:val="1"/>
          <w:color w:val="auto"/>
        </w:rPr>
        <w:t>concurso mercantil, quiebra</w:t>
      </w:r>
      <w:r>
        <w:rPr>
          <w:rFonts w:ascii="Times New Roman" w:cs="Times New Roman" w:eastAsia="Times New Roman" w:hAnsi="Times New Roman"/>
          <w:sz w:val="17"/>
          <w:szCs w:val="17"/>
          <w:color w:val="auto"/>
        </w:rPr>
        <w:t xml:space="preserve">, moratorium or other laws affecting creditors’ rights generally from time to time in effect and to general principles of equity); (iii) when executed and delivered by Cemex and the Note Guarantor, the Supplemental Indenture, including the Guarantee provided therein by the Note Guarantor, will have been authorized, executed and delivered by Cemex and the Note Guarantor, and will constitute a legal, valid, binding instrument enforceable against Cemex and the Note Guarantor in accordance with its terms (subject, as to the enforcement of remedies, to applicable bankruptcy, reorganization, insolvency, </w:t>
      </w:r>
      <w:r>
        <w:rPr>
          <w:rFonts w:ascii="Times New Roman" w:cs="Times New Roman" w:eastAsia="Times New Roman" w:hAnsi="Times New Roman"/>
          <w:sz w:val="17"/>
          <w:szCs w:val="17"/>
          <w:i w:val="1"/>
          <w:iCs w:val="1"/>
          <w:color w:val="auto"/>
        </w:rPr>
        <w:t>concurso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mercantil, quiebra</w:t>
      </w:r>
      <w:r>
        <w:rPr>
          <w:rFonts w:ascii="Times New Roman" w:cs="Times New Roman" w:eastAsia="Times New Roman" w:hAnsi="Times New Roman"/>
          <w:sz w:val="17"/>
          <w:szCs w:val="17"/>
          <w:color w:val="auto"/>
        </w:rPr>
        <w:t>, moratorium or other laws affecting creditors’ rights generally from time to time in effect and to general principles of equity);</w:t>
      </w:r>
    </w:p>
    <w:p>
      <w:pPr>
        <w:spacing w:after="0" w:line="5" w:lineRule="exact"/>
        <w:rPr>
          <w:sz w:val="20"/>
          <w:szCs w:val="20"/>
          <w:color w:val="auto"/>
        </w:rPr>
      </w:pPr>
    </w:p>
    <w:p>
      <w:pPr>
        <w:ind w:left="4" w:hanging="4"/>
        <w:spacing w:after="0" w:line="252" w:lineRule="auto"/>
        <w:tabs>
          <w:tab w:leader="none" w:pos="3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have been duly authorized by Cemex and the Guarantee has been duly authorized by the Note Guarantor; (v) when executed, authenticated and issued in accordance with the provisions of the Indenture and delivered to and paid for by the Underwriters, the Notes will have been duly executed and delivered by Cemex and will constitute the legal, valid and binding obligations of Cemex entitled to the benefits of the Indenture (subject, as to the enforcement of remedies, to applicable bankruptcy, reorganization, insolvency, </w:t>
      </w:r>
      <w:r>
        <w:rPr>
          <w:rFonts w:ascii="Times New Roman" w:cs="Times New Roman" w:eastAsia="Times New Roman" w:hAnsi="Times New Roman"/>
          <w:sz w:val="18"/>
          <w:szCs w:val="18"/>
          <w:i w:val="1"/>
          <w:iCs w:val="1"/>
          <w:color w:val="auto"/>
        </w:rPr>
        <w:t>concurso mercantil, quiebra</w:t>
      </w:r>
      <w:r>
        <w:rPr>
          <w:rFonts w:ascii="Times New Roman" w:cs="Times New Roman" w:eastAsia="Times New Roman" w:hAnsi="Times New Roman"/>
          <w:sz w:val="18"/>
          <w:szCs w:val="18"/>
          <w:color w:val="auto"/>
        </w:rPr>
        <w:t>, moratorium or other laws affecting creditors’ rights generally from time to time in effect and to general principles of equity) and (vi) the Securities will conform to the descriptions thereof in the Disclosure Package and the Final Prospectus in all material respects.</w:t>
      </w:r>
    </w:p>
    <w:p>
      <w:pPr>
        <w:spacing w:after="0" w:line="82" w:lineRule="exact"/>
        <w:rPr>
          <w:sz w:val="20"/>
          <w:szCs w:val="20"/>
          <w:color w:val="auto"/>
        </w:rPr>
      </w:pPr>
    </w:p>
    <w:p>
      <w:pPr>
        <w:ind w:left="4" w:right="180" w:firstLine="529"/>
        <w:spacing w:after="0" w:line="282" w:lineRule="auto"/>
        <w:rPr>
          <w:sz w:val="20"/>
          <w:szCs w:val="20"/>
          <w:color w:val="auto"/>
        </w:rPr>
      </w:pPr>
      <w:r>
        <w:rPr>
          <w:rFonts w:ascii="Times New Roman" w:cs="Times New Roman" w:eastAsia="Times New Roman" w:hAnsi="Times New Roman"/>
          <w:sz w:val="18"/>
          <w:szCs w:val="18"/>
          <w:color w:val="auto"/>
        </w:rPr>
        <w:t>(s)  On the Closing Date, the Indenture will be duly qualified under, and will conform in all material respects to, the requirements of the Trust Indenture Act, and the rules and regulations of the Commission applicable to an indenture that is qualified thereunder.</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4"/>
          </w:cols>
          <w:pgMar w:left="876" w:top="270" w:right="459" w:bottom="1440" w:gutter="0" w:footer="0" w:header="0"/>
        </w:sectPr>
      </w:pPr>
    </w:p>
    <w:bookmarkStart w:id="10" w:name="page11"/>
    <w:bookmarkEnd w:id="10"/>
    <w:p>
      <w:pPr>
        <w:ind w:left="4" w:firstLine="52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  No consent, approval, authorization, filing with or order of any court or governmental agency or body is required in connection with the transactions contemplated herein or in the Indenture, except (i) such as have been obtained under the Securities Act and the Trust Indenture Act, (ii) such as may be required under the blue sky laws or any other state or foreign securities laws of any jurisdiction in which the Securities are offered and sold, (iii) for the approval of the Securities for listing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(iv) for the notice to be given to the Mexican National Banking and Securities Commission (</w:t>
      </w:r>
      <w:r>
        <w:rPr>
          <w:rFonts w:ascii="Times New Roman" w:cs="Times New Roman" w:eastAsia="Times New Roman" w:hAnsi="Times New Roman"/>
          <w:sz w:val="18"/>
          <w:szCs w:val="18"/>
          <w:i w:val="1"/>
          <w:iCs w:val="1"/>
          <w:color w:val="auto"/>
        </w:rPr>
        <w:t>Comisión Nacional Bancaria y de Valores</w:t>
      </w:r>
      <w:r>
        <w:rPr>
          <w:rFonts w:ascii="Times New Roman" w:cs="Times New Roman" w:eastAsia="Times New Roman" w:hAnsi="Times New Roman"/>
          <w:sz w:val="18"/>
          <w:szCs w:val="18"/>
          <w:color w:val="auto"/>
        </w:rPr>
        <w:t>) under Article 7 of the Mexican Securities Market Law (</w:t>
      </w:r>
      <w:r>
        <w:rPr>
          <w:rFonts w:ascii="Times New Roman" w:cs="Times New Roman" w:eastAsia="Times New Roman" w:hAnsi="Times New Roman"/>
          <w:sz w:val="18"/>
          <w:szCs w:val="18"/>
          <w:i w:val="1"/>
          <w:iCs w:val="1"/>
          <w:color w:val="auto"/>
        </w:rPr>
        <w:t>Ley del Mercado de Valores</w:t>
      </w:r>
      <w:r>
        <w:rPr>
          <w:rFonts w:ascii="Times New Roman" w:cs="Times New Roman" w:eastAsia="Times New Roman" w:hAnsi="Times New Roman"/>
          <w:sz w:val="18"/>
          <w:szCs w:val="18"/>
          <w:color w:val="auto"/>
        </w:rPr>
        <w:t>) and regulation thereunder, in respect of the issuance and offering of the Securities, and</w:t>
      </w:r>
    </w:p>
    <w:p>
      <w:pPr>
        <w:spacing w:after="0" w:line="5" w:lineRule="exact"/>
        <w:rPr>
          <w:sz w:val="20"/>
          <w:szCs w:val="20"/>
          <w:color w:val="auto"/>
        </w:rPr>
      </w:pPr>
    </w:p>
    <w:p>
      <w:pPr>
        <w:ind w:left="4" w:right="320" w:hanging="4"/>
        <w:spacing w:after="0" w:line="260"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notice to be given to the Mexican Tax Administration Service (</w:t>
      </w:r>
      <w:r>
        <w:rPr>
          <w:rFonts w:ascii="Times New Roman" w:cs="Times New Roman" w:eastAsia="Times New Roman" w:hAnsi="Times New Roman"/>
          <w:sz w:val="18"/>
          <w:szCs w:val="18"/>
          <w:i w:val="1"/>
          <w:iCs w:val="1"/>
          <w:color w:val="auto"/>
        </w:rPr>
        <w:t>Servicio de Administración Tributaria</w:t>
      </w:r>
      <w:r>
        <w:rPr>
          <w:rFonts w:ascii="Times New Roman" w:cs="Times New Roman" w:eastAsia="Times New Roman" w:hAnsi="Times New Roman"/>
          <w:sz w:val="18"/>
          <w:szCs w:val="18"/>
          <w:color w:val="auto"/>
        </w:rPr>
        <w:t>) under applicable tax law and regulations, in respect of the issuance of the Securities and of the principal terms and conditions of the offering and the Securities.</w:t>
      </w:r>
    </w:p>
    <w:p>
      <w:pPr>
        <w:spacing w:after="0" w:line="73" w:lineRule="exact"/>
        <w:rPr>
          <w:sz w:val="20"/>
          <w:szCs w:val="20"/>
          <w:color w:val="auto"/>
        </w:rPr>
      </w:pPr>
    </w:p>
    <w:p>
      <w:pPr>
        <w:jc w:val="both"/>
        <w:ind w:left="4" w:right="40" w:firstLine="529"/>
        <w:spacing w:after="0" w:line="272" w:lineRule="auto"/>
        <w:rPr>
          <w:sz w:val="20"/>
          <w:szCs w:val="20"/>
          <w:color w:val="auto"/>
        </w:rPr>
      </w:pPr>
      <w:r>
        <w:rPr>
          <w:rFonts w:ascii="Times New Roman" w:cs="Times New Roman" w:eastAsia="Times New Roman" w:hAnsi="Times New Roman"/>
          <w:sz w:val="17"/>
          <w:szCs w:val="17"/>
          <w:color w:val="auto"/>
        </w:rPr>
        <w:t>(u)  None of the execution and delivery of this Agreement and the Indenture, the issuance and sale of the Securities, or the consummation of any other of the transactions herein or therein contemplated or the fulfillment of the terms hereof or thereof will conflict with, result in a breach or violation of, or imposition of any lien, charge or encumbrance upon any property or assets of Cemex or any of its Subsidiaries pursuant to,</w:t>
      </w:r>
    </w:p>
    <w:p>
      <w:pPr>
        <w:spacing w:after="0" w:line="2" w:lineRule="exact"/>
        <w:rPr>
          <w:sz w:val="20"/>
          <w:szCs w:val="20"/>
          <w:color w:val="auto"/>
        </w:rPr>
      </w:pPr>
    </w:p>
    <w:p>
      <w:pPr>
        <w:ind w:left="4" w:right="60" w:hanging="4"/>
        <w:spacing w:after="0" w:line="251" w:lineRule="auto"/>
        <w:tabs>
          <w:tab w:leader="none" w:pos="2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estatutos sociales</w:t>
      </w:r>
      <w:r>
        <w:rPr>
          <w:rFonts w:ascii="Times New Roman" w:cs="Times New Roman" w:eastAsia="Times New Roman" w:hAnsi="Times New Roman"/>
          <w:sz w:val="18"/>
          <w:szCs w:val="18"/>
          <w:color w:val="auto"/>
        </w:rPr>
        <w:t>, charter or by-laws or comparable constituting documents of Cemex or any of its Subsidiaries, (ii) the terms of any indenture, contract, lease, mortgage, deed of trust, note agreement, loan agreement or other agreement, obligation, condition, covenant or instrument to which Cemex or any of its Subsidiaries is a party or bound or to which its or their property is subject (including the Credit Agreements), or (iii) any statute, law, rule, regulation, judgment, order or decree of any court, regulatory body, administrative agency, governmental body, arbitrator or other authority having jurisdiction over Cemex or any of its Subsidiaries or any of its or their properties, which conflict, breach, violation or imposition would, in the case of clauses (ii) and (iii) above, either individually or in the aggregate with all other conflicts, breaches, violations and impositions referred to in this paragraph (if any), have (x) a Material Adverse Effect (as defined below) or (y) a material adverse effect upon the transactions contemplated herein.</w:t>
      </w:r>
    </w:p>
    <w:p>
      <w:pPr>
        <w:spacing w:after="0" w:line="86" w:lineRule="exact"/>
        <w:rPr>
          <w:sz w:val="20"/>
          <w:szCs w:val="20"/>
          <w:color w:val="auto"/>
        </w:rPr>
      </w:pPr>
    </w:p>
    <w:p>
      <w:pPr>
        <w:ind w:left="4" w:right="100" w:firstLine="529"/>
        <w:spacing w:after="0" w:line="255" w:lineRule="auto"/>
        <w:rPr>
          <w:sz w:val="20"/>
          <w:szCs w:val="20"/>
          <w:color w:val="auto"/>
        </w:rPr>
      </w:pPr>
      <w:r>
        <w:rPr>
          <w:rFonts w:ascii="Times New Roman" w:cs="Times New Roman" w:eastAsia="Times New Roman" w:hAnsi="Times New Roman"/>
          <w:sz w:val="18"/>
          <w:szCs w:val="18"/>
          <w:color w:val="auto"/>
        </w:rPr>
        <w:t>(v)  The consolidated historical financial statements and schedules of Cemex and its consolidated Subsidiaries incorporated by reference in the Disclosure Package and the Final Prospectus present fairly in all material respects the financial condition, results of operations and cash flows of Cemex and its consolidated Subsidiaries as of the dates and for the periods indicated, comply as to form with the applicable accounting requirements of the Securities Act and have been prepared in conformity with IFRS applied on a consistent basis throughout the periods involved (except as otherwise noted therein); the selected financial data set forth under the caption “Selected Consolidated Financial Information” in each of Cemex’s 2025 Annual Report and the June 6-K incorporated by reference in the Disclosure Package and the Final Prospectus present, on the basis stated in the Disclosure Package and the Final Prospectus, the information included therein.</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11" w:name="page12"/>
    <w:bookmarkEnd w:id="11"/>
    <w:p>
      <w:pPr>
        <w:ind w:firstLine="52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  No action, suit or proceeding by or before any court or governmental, regulatory or administrative authority or agency, authority or body or any arbitrator involving Cemex or any of its Subsidiaries or their respective property is pending or, to the best knowledge of Cemex, threatened that (i) could reasonably be expected to have a material adverse effect on the performance of this Agreement and the Indenture, or the consummation of any of the transactions contemplated hereby or thereby or (ii) could reasonably be expected to have a material adverse effect on the condition (financial or otherwise), prospects, earnings, business or properties of Cemex and its Subsidiaries, taken as a whole, whether or not arising from transactions in the ordinary course of business (collectively the events described in (i) and (ii) above,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except as set forth in or contemplated in the Disclosure Package and the Final Prospectus (exclusive of any amendment or supplement thereto after the Execution Time).</w:t>
      </w:r>
    </w:p>
    <w:p>
      <w:pPr>
        <w:spacing w:after="0" w:line="84" w:lineRule="exact"/>
        <w:rPr>
          <w:sz w:val="20"/>
          <w:szCs w:val="20"/>
          <w:color w:val="auto"/>
        </w:rPr>
      </w:pPr>
    </w:p>
    <w:p>
      <w:pPr>
        <w:ind w:right="200" w:firstLine="529"/>
        <w:spacing w:after="0" w:line="261" w:lineRule="auto"/>
        <w:rPr>
          <w:sz w:val="20"/>
          <w:szCs w:val="20"/>
          <w:color w:val="auto"/>
        </w:rPr>
      </w:pPr>
      <w:r>
        <w:rPr>
          <w:rFonts w:ascii="Times New Roman" w:cs="Times New Roman" w:eastAsia="Times New Roman" w:hAnsi="Times New Roman"/>
          <w:sz w:val="18"/>
          <w:szCs w:val="18"/>
          <w:color w:val="auto"/>
        </w:rPr>
        <w:t>(x)  Each of Cemex and its Subsidiaries owns or leases all such properties as are necessary to the conduct of its operations as presently conducted except (i) for such properties the loss of which would not reasonably be expected to result in a Material Adverse Effect and (ii) as set forth in or contemplated in the Disclosure Package and the Final Prospectus (exclusive of any amendment or supplement thereto after the Execution Time).</w:t>
      </w:r>
    </w:p>
    <w:p>
      <w:pPr>
        <w:spacing w:after="0" w:line="70" w:lineRule="exact"/>
        <w:rPr>
          <w:sz w:val="20"/>
          <w:szCs w:val="20"/>
          <w:color w:val="auto"/>
        </w:rPr>
      </w:pPr>
    </w:p>
    <w:p>
      <w:pPr>
        <w:ind w:right="60" w:firstLine="529"/>
        <w:spacing w:after="0" w:line="255" w:lineRule="auto"/>
        <w:rPr>
          <w:sz w:val="20"/>
          <w:szCs w:val="20"/>
          <w:color w:val="auto"/>
        </w:rPr>
      </w:pPr>
      <w:r>
        <w:rPr>
          <w:rFonts w:ascii="Times New Roman" w:cs="Times New Roman" w:eastAsia="Times New Roman" w:hAnsi="Times New Roman"/>
          <w:sz w:val="18"/>
          <w:szCs w:val="18"/>
          <w:color w:val="auto"/>
        </w:rPr>
        <w:t xml:space="preserve">(y)  Neither Cemex nor any of its Subsidiaries is in violation or default of (i) any provision of its charter, by-laws or </w:t>
      </w:r>
      <w:r>
        <w:rPr>
          <w:rFonts w:ascii="Times New Roman" w:cs="Times New Roman" w:eastAsia="Times New Roman" w:hAnsi="Times New Roman"/>
          <w:sz w:val="18"/>
          <w:szCs w:val="18"/>
          <w:i w:val="1"/>
          <w:iCs w:val="1"/>
          <w:color w:val="auto"/>
        </w:rPr>
        <w:t>estatutos sociales</w:t>
      </w:r>
      <w:r>
        <w:rPr>
          <w:rFonts w:ascii="Times New Roman" w:cs="Times New Roman" w:eastAsia="Times New Roman" w:hAnsi="Times New Roman"/>
          <w:sz w:val="18"/>
          <w:szCs w:val="18"/>
          <w:color w:val="auto"/>
        </w:rPr>
        <w:t xml:space="preserve"> or comparable constituting documents, (ii) the terms of any indenture, contract, lease, mortgage, deed of trust, note agreement, loan agreement or other agreement, obligation, condition, covenant or instrument to which it is a party or bound or to which its property is subject (including the Credit Agreements), or (iii) any statute, law, rule, regulation, judgment, order or decree applicable to Cemex or any of its Subsidiaries of any court, regulatory body, administrative agency, governmental body, arbitrator or other authority having jurisdiction over Cemex or any of its Subsidiaries or any of their respective properties, as applicable, except for such violations or defaults which, individually or in the aggregate, would not reasonably be expected to have a Material Adverse Effect, and except as set forth in or contemplated in the Disclosure Package and the Final Prospectus (exclusive of any amendment or supplement thereto after the Execution Time).</w:t>
      </w:r>
    </w:p>
    <w:p>
      <w:pPr>
        <w:spacing w:after="0" w:line="79" w:lineRule="exact"/>
        <w:rPr>
          <w:sz w:val="20"/>
          <w:szCs w:val="20"/>
          <w:color w:val="auto"/>
        </w:rPr>
      </w:pPr>
    </w:p>
    <w:p>
      <w:pPr>
        <w:ind w:firstLine="529"/>
        <w:spacing w:after="0" w:line="258" w:lineRule="auto"/>
        <w:rPr>
          <w:sz w:val="20"/>
          <w:szCs w:val="20"/>
          <w:color w:val="auto"/>
        </w:rPr>
      </w:pPr>
      <w:r>
        <w:rPr>
          <w:rFonts w:ascii="Times New Roman" w:cs="Times New Roman" w:eastAsia="Times New Roman" w:hAnsi="Times New Roman"/>
          <w:sz w:val="18"/>
          <w:szCs w:val="18"/>
          <w:color w:val="auto"/>
        </w:rPr>
        <w:t>(z)  KPMG Cárdenas Dosal, S.C. (“</w:t>
      </w:r>
      <w:r>
        <w:rPr>
          <w:rFonts w:ascii="Times New Roman" w:cs="Times New Roman" w:eastAsia="Times New Roman" w:hAnsi="Times New Roman"/>
          <w:sz w:val="18"/>
          <w:szCs w:val="18"/>
          <w:u w:val="single" w:color="auto"/>
          <w:color w:val="auto"/>
        </w:rPr>
        <w:t>KPMG</w:t>
      </w:r>
      <w:r>
        <w:rPr>
          <w:rFonts w:ascii="Times New Roman" w:cs="Times New Roman" w:eastAsia="Times New Roman" w:hAnsi="Times New Roman"/>
          <w:sz w:val="18"/>
          <w:szCs w:val="18"/>
          <w:color w:val="auto"/>
        </w:rPr>
        <w:t>”), which has audited certain financial statements of Cemex and its consolidated Subsidiaries and delivered their report with respect to the audited consolidated financial statements incorporated by reference in the Disclosure Package and the Final Prospectus, are independent auditors with respect to Cemex and its consolidated Subsidiaries within the meaning of the Securities Act and in accordance with the applicable rules and regulations adopted by the Commission and the Public Company Accounting Oversight Board (United States).</w:t>
      </w:r>
    </w:p>
    <w:p>
      <w:pPr>
        <w:spacing w:after="0" w:line="75" w:lineRule="exact"/>
        <w:rPr>
          <w:sz w:val="20"/>
          <w:szCs w:val="20"/>
          <w:color w:val="auto"/>
        </w:rPr>
      </w:pPr>
    </w:p>
    <w:p>
      <w:pPr>
        <w:ind w:firstLine="529"/>
        <w:spacing w:after="0" w:line="282" w:lineRule="auto"/>
        <w:rPr>
          <w:sz w:val="20"/>
          <w:szCs w:val="20"/>
          <w:color w:val="auto"/>
        </w:rPr>
      </w:pPr>
      <w:r>
        <w:rPr>
          <w:rFonts w:ascii="Times New Roman" w:cs="Times New Roman" w:eastAsia="Times New Roman" w:hAnsi="Times New Roman"/>
          <w:sz w:val="18"/>
          <w:szCs w:val="18"/>
          <w:color w:val="auto"/>
        </w:rPr>
        <w:t>(aa)  There are no stamp or other issuance or transfer taxes or duties or other similar fees or charges required to be paid in connection with the execution and delivery of this Agreement or the issuance or sale of the Securities.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right="20" w:firstLine="52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(bb)  Cemex and each of its Subsidiaries have filed all applicable tax returns that are required to be filed by them or have requested extensions of the period applicable for the filing of such returns (except in any case in which the failure so to file would not have a Material Adverse Effect and except as set forth in or contemplated in the Disclosure Package and the Final Prospectus (exclusive of any amendment or supplement thereto after the Execution Time)) and have paid all taxes required to be paid by them and any other assessment, fine or penalty levied against them, to the extent that any of the foregoing is due and payable, except for any such tax, assessment, fine or penalty that is currently being contested in good faith or as would not have a Material Adverse Effect and except as set forth in or contemplated in the Disclosure Package and the Final Prospectus (exclusive of any amendment or supplement thereto after the Execution Time).</w:t>
      </w:r>
    </w:p>
    <w:p>
      <w:pPr>
        <w:spacing w:after="0" w:line="81" w:lineRule="exact"/>
        <w:rPr>
          <w:sz w:val="20"/>
          <w:szCs w:val="20"/>
          <w:color w:val="auto"/>
        </w:rPr>
      </w:pPr>
    </w:p>
    <w:p>
      <w:pPr>
        <w:ind w:firstLine="529"/>
        <w:spacing w:after="0" w:line="261" w:lineRule="auto"/>
        <w:rPr>
          <w:sz w:val="20"/>
          <w:szCs w:val="20"/>
          <w:color w:val="auto"/>
        </w:rPr>
      </w:pPr>
      <w:r>
        <w:rPr>
          <w:rFonts w:ascii="Times New Roman" w:cs="Times New Roman" w:eastAsia="Times New Roman" w:hAnsi="Times New Roman"/>
          <w:sz w:val="18"/>
          <w:szCs w:val="18"/>
          <w:color w:val="auto"/>
        </w:rPr>
        <w:t>(cc)  No labor problem or dispute with the employees of Cemex or any of its Subsidiaries exists or is threatened or imminent, and Cemex is not aware of any existing or imminent labor disturbance by the employees of any of its Subsidiaries’ principal suppliers, contractors or customers, except as would not have a Material Adverse Effect and except as set forth in or contemplated in the Disclosure Package and the Final Prospectus (exclusive of any amendment or supplement thereto after the Execution Time).</w:t>
      </w:r>
    </w:p>
    <w:p>
      <w:pPr>
        <w:spacing w:after="0" w:line="72" w:lineRule="exact"/>
        <w:rPr>
          <w:sz w:val="20"/>
          <w:szCs w:val="20"/>
          <w:color w:val="auto"/>
        </w:rPr>
      </w:pPr>
    </w:p>
    <w:p>
      <w:pPr>
        <w:ind w:right="20" w:firstLine="529"/>
        <w:spacing w:after="0" w:line="258" w:lineRule="auto"/>
        <w:rPr>
          <w:sz w:val="20"/>
          <w:szCs w:val="20"/>
          <w:color w:val="auto"/>
        </w:rPr>
      </w:pPr>
      <w:r>
        <w:rPr>
          <w:rFonts w:ascii="Times New Roman" w:cs="Times New Roman" w:eastAsia="Times New Roman" w:hAnsi="Times New Roman"/>
          <w:sz w:val="18"/>
          <w:szCs w:val="18"/>
          <w:color w:val="auto"/>
        </w:rPr>
        <w:t>(dd)  No Subsidiary of Cemex is currently prohibited, directly or indirectly, from paying any dividends to Cemex, from making any other distribution on such Subsidiary’s capital stock or ownership interest, from repaying to Cemex any loans or advances to such Subsidiary from Cemex or from transferring any of such Subsidiary’s property or assets to Cemex or any other Subsidiary of Cemex, except for certain contractual prohibitions that are not material individually or in the aggregate, and except as described in or contemplated in the Disclosure Package or the Final Prospectus (in each case, exclusive of any amendment or supplement thereto after the Execution Time).</w:t>
      </w:r>
    </w:p>
    <w:p>
      <w:pPr>
        <w:spacing w:after="0" w:line="75" w:lineRule="exact"/>
        <w:rPr>
          <w:sz w:val="20"/>
          <w:szCs w:val="20"/>
          <w:color w:val="auto"/>
        </w:rPr>
      </w:pPr>
    </w:p>
    <w:p>
      <w:pPr>
        <w:ind w:right="40" w:firstLine="529"/>
        <w:spacing w:after="0" w:line="253" w:lineRule="auto"/>
        <w:rPr>
          <w:sz w:val="20"/>
          <w:szCs w:val="20"/>
          <w:color w:val="auto"/>
        </w:rPr>
      </w:pPr>
      <w:r>
        <w:rPr>
          <w:rFonts w:ascii="Times New Roman" w:cs="Times New Roman" w:eastAsia="Times New Roman" w:hAnsi="Times New Roman"/>
          <w:sz w:val="18"/>
          <w:szCs w:val="18"/>
          <w:color w:val="auto"/>
        </w:rPr>
        <w:t>(ee)  Cemex and each of its Subsidiaries are insured by insurers of recognized financial responsibility against such losses and risks and in such amounts as are prudent and customary in the businesses in which they are engaged; all policies of insurance and fidelity or surety bonds insuring Cemex or any of its Subsidiaries or their respective businesses, assets, employees, officers and directors are in full force and effect; Cemex and its Subsidiaries are in compliance in all material respects with the terms of such policies and instruments; there are no material claims by Cemex or any of its Subsidiaries under any such policy or instrument as to which any insurance company is denying liability or defending under a reservation of rights clause; neither Cemex nor any of its Subsidiaries has been refused any material insurance coverage sought or applied for; and neither Cemex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in or contemplated in the Disclosure Package and the Final Prospectus (exclusive of any amendment or supplement thereto after the Execution Time).</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13" w:name="page14"/>
    <w:bookmarkEnd w:id="13"/>
    <w:p>
      <w:pPr>
        <w:ind w:left="4" w:right="60" w:firstLine="52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(ff)  Cemex and each of its Subsidiaries possess all licenses, certificates, permits and other authorizations issued by all applicable authorities necessary to conduct their respective businesses, except to the extent that the failure to have such license, certificate, permit or authorization would not reasonably be expected to have a Material Adverse Effect and except as described in or contemplated in the Disclosure Package or the Final Prospectus (exclusive of any amendment or supplement thereto after the Execution Time), and neither Cemex nor any of its Subsidiaries have received any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Disclosure Package and the Final Prospectus (exclusive of any amendment or supplement thereto after the Execution Time).</w:t>
      </w:r>
    </w:p>
    <w:p>
      <w:pPr>
        <w:spacing w:after="0" w:line="8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(gg)   Cemex and each of its Subsidiaries maintain a system of internal accounting controls sufficient to provide reasonable assurance that</w:t>
      </w:r>
    </w:p>
    <w:p>
      <w:pPr>
        <w:spacing w:after="0" w:line="27" w:lineRule="exact"/>
        <w:rPr>
          <w:sz w:val="20"/>
          <w:szCs w:val="20"/>
          <w:color w:val="auto"/>
        </w:rPr>
      </w:pPr>
    </w:p>
    <w:p>
      <w:pPr>
        <w:ind w:left="4" w:hanging="4"/>
        <w:spacing w:after="0" w:line="251" w:lineRule="auto"/>
        <w:tabs>
          <w:tab w:leader="none" w:pos="2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Disclosure Package and the Final Prospectus is in compliance with the SEC’s published rules, regulations and guidelines applicable thereto. Cemex and each of its Subsidiaries maintain an effective system of internal control over financial reporting (as such term is defined in Rule 13a-15(f) under the Exchange Act) that complies with the requirements of the Exchange Act and has been designed by Cemex’s principal executive officer and principal financial officer, or under their supervision, to provide reasonable assurance regarding the reliability of financial reporting, and neither Cemex nor any of its Subsidiaries is aware of any material weakness in its internal control over financial reporting.</w:t>
      </w:r>
    </w:p>
    <w:p>
      <w:pPr>
        <w:spacing w:after="0" w:line="85" w:lineRule="exact"/>
        <w:rPr>
          <w:sz w:val="20"/>
          <w:szCs w:val="20"/>
          <w:color w:val="auto"/>
        </w:rPr>
      </w:pPr>
    </w:p>
    <w:p>
      <w:pPr>
        <w:ind w:left="4" w:firstLine="529"/>
        <w:spacing w:after="0" w:line="282" w:lineRule="auto"/>
        <w:rPr>
          <w:sz w:val="20"/>
          <w:szCs w:val="20"/>
          <w:color w:val="auto"/>
        </w:rPr>
      </w:pPr>
      <w:r>
        <w:rPr>
          <w:rFonts w:ascii="Times New Roman" w:cs="Times New Roman" w:eastAsia="Times New Roman" w:hAnsi="Times New Roman"/>
          <w:sz w:val="18"/>
          <w:szCs w:val="18"/>
          <w:color w:val="auto"/>
        </w:rPr>
        <w:t>(hh)  Cemex and each of its Subsidiaries maintains “disclosure controls and procedures” (as such term is defined in Rule 13a-15(e) under the Exchange Act) and such disclosure controls and procedures are effective.</w:t>
      </w:r>
    </w:p>
    <w:p>
      <w:pPr>
        <w:spacing w:after="0" w:line="54" w:lineRule="exact"/>
        <w:rPr>
          <w:sz w:val="20"/>
          <w:szCs w:val="20"/>
          <w:color w:val="auto"/>
        </w:rPr>
      </w:pPr>
    </w:p>
    <w:p>
      <w:pPr>
        <w:ind w:left="4" w:right="20" w:firstLine="529"/>
        <w:spacing w:after="0" w:line="253" w:lineRule="auto"/>
        <w:rPr>
          <w:sz w:val="20"/>
          <w:szCs w:val="20"/>
          <w:color w:val="auto"/>
        </w:rPr>
      </w:pPr>
      <w:r>
        <w:rPr>
          <w:rFonts w:ascii="Times New Roman" w:cs="Times New Roman" w:eastAsia="Times New Roman" w:hAnsi="Times New Roman"/>
          <w:sz w:val="18"/>
          <w:szCs w:val="18"/>
          <w:color w:val="auto"/>
        </w:rPr>
        <w:t>(ii)  Cemex and its Subsidiaries are (i) in compliance with any and all applicable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except as set forth in or contemplated in the Disclosure Package and the Final Prospectus (exclusive of any amendment or supplement thereto after the Execution Time). Except as set forth in the Disclosure Package and the Final Prospectus, neither (i) Cemex nor any of its non-U.S. Subsidiaries and (ii) since January 1, 2012, none of Cemex’s U.S. Subsidiaries has been named as a “potentially responsible party” under the Comprehensive Environmental Response, Compensation, and Liability Act of 1980, as amended, except where status as a “potentially responsible party” would not reasonably be expected to, individually or in the aggregate, have a Material Adverse Effect.</w:t>
      </w:r>
    </w:p>
    <w:p>
      <w:pPr>
        <w:spacing w:after="0" w:line="124"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04"/>
          </w:cols>
          <w:pgMar w:left="876" w:top="270" w:right="519" w:bottom="1440" w:gutter="0" w:footer="0" w:header="0"/>
        </w:sectPr>
      </w:pPr>
    </w:p>
    <w:bookmarkStart w:id="14" w:name="page15"/>
    <w:bookmarkEnd w:id="14"/>
    <w:p>
      <w:pPr>
        <w:ind w:firstLine="52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(jj)  In the ordinary course of its business, Cemex periodically reviews the effect of Environmental Laws on the business, operations and properties of Cemex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Cemex has reasonably concluded that such associated costs and liabilities would not, singly or in the aggregate, have a Material Adverse Effect, except as set forth in or contemplated in the Disclosure Package and the Final Prospectus (exclusive of any amendment or supplement thereto after the Execution Time).</w:t>
      </w:r>
    </w:p>
    <w:p>
      <w:pPr>
        <w:spacing w:after="0" w:line="81" w:lineRule="exact"/>
        <w:rPr>
          <w:sz w:val="20"/>
          <w:szCs w:val="20"/>
          <w:color w:val="auto"/>
        </w:rPr>
      </w:pPr>
    </w:p>
    <w:p>
      <w:pPr>
        <w:ind w:right="220" w:firstLine="529"/>
        <w:spacing w:after="0" w:line="261" w:lineRule="auto"/>
        <w:rPr>
          <w:sz w:val="20"/>
          <w:szCs w:val="20"/>
          <w:color w:val="auto"/>
        </w:rPr>
      </w:pPr>
      <w:r>
        <w:rPr>
          <w:rFonts w:ascii="Times New Roman" w:cs="Times New Roman" w:eastAsia="Times New Roman" w:hAnsi="Times New Roman"/>
          <w:sz w:val="18"/>
          <w:szCs w:val="18"/>
          <w:color w:val="auto"/>
        </w:rPr>
        <w:t>(kk)  There is and has been no failure on the part of Cemex and, to the knowledge of the Company and the Note Guarantor, any of Cemex’s directors or officers, in their capacities as such, to comply with any provision of the Sarbanes-Oxley Act of 2002, as amended, and the rules and regulations promulgated in connection thereunder, including Section 402 relating to loans and Sections 302 and 906 relating to certifications.</w:t>
      </w:r>
    </w:p>
    <w:p>
      <w:pPr>
        <w:spacing w:after="0" w:line="72" w:lineRule="exact"/>
        <w:rPr>
          <w:sz w:val="20"/>
          <w:szCs w:val="20"/>
          <w:color w:val="auto"/>
        </w:rPr>
      </w:pPr>
    </w:p>
    <w:p>
      <w:pPr>
        <w:ind w:right="140" w:firstLine="529"/>
        <w:spacing w:after="0" w:line="269" w:lineRule="auto"/>
        <w:rPr>
          <w:sz w:val="20"/>
          <w:szCs w:val="20"/>
          <w:color w:val="auto"/>
        </w:rPr>
      </w:pPr>
      <w:r>
        <w:rPr>
          <w:rFonts w:ascii="Times New Roman" w:cs="Times New Roman" w:eastAsia="Times New Roman" w:hAnsi="Times New Roman"/>
          <w:sz w:val="17"/>
          <w:szCs w:val="17"/>
          <w:color w:val="auto"/>
        </w:rPr>
        <w:t xml:space="preserve">(ll)  The operations of Cemex and its Subsidiaries are and have been conducted at all times in compliance with applicable financial recordkeeping and reporting requirements, including those of the Mexican Ley Federal para la </w:t>
      </w:r>
      <w:r>
        <w:rPr>
          <w:rFonts w:ascii="Times New Roman" w:cs="Times New Roman" w:eastAsia="Times New Roman" w:hAnsi="Times New Roman"/>
          <w:sz w:val="17"/>
          <w:szCs w:val="17"/>
          <w:i w:val="1"/>
          <w:iCs w:val="1"/>
          <w:color w:val="auto"/>
        </w:rPr>
        <w:t>Prevención e Identificación de Operaciones con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Recursos de Procedencia Ilícita</w:t>
      </w:r>
      <w:r>
        <w:rPr>
          <w:rFonts w:ascii="Times New Roman" w:cs="Times New Roman" w:eastAsia="Times New Roman" w:hAnsi="Times New Roman"/>
          <w:sz w:val="17"/>
          <w:szCs w:val="17"/>
          <w:color w:val="auto"/>
        </w:rPr>
        <w:t>, the Currency and Foreign Transactions Reporting Act of 1970, as amended, the applicable money laundering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statutes of all jurisdictions where Cemex or any of its Subsidiaries conducts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7"/>
          <w:szCs w:val="17"/>
          <w:u w:val="single" w:color="auto"/>
          <w:color w:val="auto"/>
        </w:rPr>
        <w:t>Money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Laundering Laws</w:t>
      </w:r>
      <w:r>
        <w:rPr>
          <w:rFonts w:ascii="Times New Roman" w:cs="Times New Roman" w:eastAsia="Times New Roman" w:hAnsi="Times New Roman"/>
          <w:sz w:val="17"/>
          <w:szCs w:val="17"/>
          <w:color w:val="auto"/>
        </w:rPr>
        <w:t>”), and no action, suit or proceeding by or before any court or governmental or regulatory agency, authority or body or any arbitrator involving Cemex or any of its Subsidiaries with respect to the Money Laundering Laws is pending or, to the best knowledge of Cemex or the Note Guarantor, threatened; except, in each case, for matters under investigation by the U.S. Department of Justice and the staff of the Commission as disclosed in “Item 4—Information on the Company—Regulatory Matters and Legal Proceedings—Other Legal Proceedings— Maceo Colombia—Legal Proceedings in Colombia” in the 2025 Annual Report). Cemex and its Subsidiaries have implemented and maintain policies and procedures reasonably designed to ensure compliance in all material respects with all applicable Money Laundering Laws.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(mm)   [Reserved.]</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5" w:name="page16"/>
    <w:bookmarkEnd w:id="15"/>
    <w:p>
      <w:pPr>
        <w:ind w:left="4" w:firstLine="529"/>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(nn)  None of Cemex, any of its Subsidiaries, the directors of Cemex or the Note Guarantor or, to the knowledge of Cemex or the Note Guarantor, any director of Cemex’s Subsidiaries (other than the Note Guarantor), officer, agent, employee, or Affiliate or other person associated with or acting on behalf of Cemex or any of its Subsidiaries is, or is controlled or 50% or more owned in the aggregate by, or is acting on behalf of, one or more individuals or entities that are currently the subject or the target of any sanctions administered or enforced by the U.S. Government, (including, without limitation, the Office of Foreign Assets Control of the U.S. Department of the Treasury, the U.S. Department of State or the Bureau of Industry and Security of the U.S. Department of Commerce), the United Nations Security Council, the European Union, His Majesty’s Treasury, or other relevant sanctions authority (such sanctions,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including, without limitation, the designation as a “specially designated national” or “blocked person” by the U.S. Government, nor is Cemex, any of its Subsidiaries or the Note Guarantor located, organized or resident in a country or territory that is, or whose government is, the subject of Sanctions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including, without limitation, Cuba, Iran, North Korea, the so-called Donetsk People’s Republic, the so-called Luhansk People’s Republic, the non-government controlled areas of the Zaporizhzhia and Kherson regions, the Crimea region of Ukraine and any other Sanctioned Country; and Cemex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w:t>
      </w:r>
    </w:p>
    <w:p>
      <w:pPr>
        <w:spacing w:after="0" w:line="12" w:lineRule="exact"/>
        <w:rPr>
          <w:sz w:val="20"/>
          <w:szCs w:val="20"/>
          <w:color w:val="auto"/>
        </w:rPr>
      </w:pPr>
    </w:p>
    <w:p>
      <w:pPr>
        <w:ind w:left="4" w:right="120" w:hanging="4"/>
        <w:spacing w:after="0" w:line="252"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of or business in any Sanctioned Country or (iii) in any other manner that will result in a violation by any person (including any person participating in the transaction, whether as an Underwriter, advisor, investor or otherwise) of Sanctions. Since April 24, 2019, neither Cemex nor any of its Subsidiaries has knowingly engaged in, nor is currently knowingly engaged in, any dealings or transactions with any person or entity that, at the time of such dealing or transaction, was or is the subject of Sanctions or located in a Sanctioned Country. Cemex and its subsidiaries have implemented and maintain policies and procedures reasonably designed to prevent dealings or transactions with any such persons or entities that is the subject of Sanctions or located in a Sanctioned Country.</w:t>
      </w:r>
    </w:p>
    <w:p>
      <w:pPr>
        <w:spacing w:after="0" w:line="82"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(oo)   None of Cemex, any of its Subsidiaries, the directors of Cemex or the Note Guarantor or, to the knowledge of Cemex or the Note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Guarantor, any director of Cemex’s Subsidiaries (other than the Note Guarantor), officer, agent, employee, Affiliate or other person associated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or acting on behalf of Cemex or any of its Subsidiaries has (i) used any funds for any unlawful contribution, gift, entertainment or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unlawful expense relating to political activity; (ii) made or taken an act in furtherance of an offer, promise or authorization of any direct or indirect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unlawful payment or benefit to any foreign or domestic government or regulatory official or employee, including of any government-owned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controlled entity or of a public international organization, or any person acting in an official capacity for or on behalf of any of the foregoing,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any political party or party official or candidate for political office; (iii) violated or is in violation of any provision of the Foreign Corrupt Practices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xml:space="preserve">”), the Mexican </w:t>
      </w:r>
      <w:r>
        <w:rPr>
          <w:rFonts w:ascii="Times New Roman" w:cs="Times New Roman" w:eastAsia="Times New Roman" w:hAnsi="Times New Roman"/>
          <w:sz w:val="18"/>
          <w:szCs w:val="18"/>
          <w:i w:val="1"/>
          <w:iCs w:val="1"/>
          <w:color w:val="auto"/>
        </w:rPr>
        <w:t>Ley General del Sistema Nacional Anticorrupción</w:t>
      </w:r>
      <w:r>
        <w:rPr>
          <w:rFonts w:ascii="Times New Roman" w:cs="Times New Roman" w:eastAsia="Times New Roman" w:hAnsi="Times New Roman"/>
          <w:sz w:val="18"/>
          <w:szCs w:val="18"/>
          <w:color w:val="auto"/>
        </w:rPr>
        <w:t>, the Mexican Federal Criminal Code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Código Penal Federal</w:t>
      </w:r>
      <w:r>
        <w:rPr>
          <w:rFonts w:ascii="Times New Roman" w:cs="Times New Roman" w:eastAsia="Times New Roman" w:hAnsi="Times New Roman"/>
          <w:sz w:val="18"/>
          <w:szCs w:val="18"/>
          <w:color w:val="auto"/>
        </w:rPr>
        <w:t xml:space="preserve">), the Mexican </w:t>
      </w:r>
      <w:r>
        <w:rPr>
          <w:rFonts w:ascii="Times New Roman" w:cs="Times New Roman" w:eastAsia="Times New Roman" w:hAnsi="Times New Roman"/>
          <w:sz w:val="18"/>
          <w:szCs w:val="18"/>
          <w:i w:val="1"/>
          <w:iCs w:val="1"/>
          <w:color w:val="auto"/>
        </w:rPr>
        <w:t>Ley General de Responsabilidades Administrativas</w:t>
      </w:r>
      <w:r>
        <w:rPr>
          <w:rFonts w:ascii="Times New Roman" w:cs="Times New Roman" w:eastAsia="Times New Roman" w:hAnsi="Times New Roman"/>
          <w:sz w:val="18"/>
          <w:szCs w:val="18"/>
          <w:color w:val="auto"/>
        </w:rPr>
        <w:t xml:space="preserve"> (jointly, the “</w:t>
      </w:r>
      <w:r>
        <w:rPr>
          <w:rFonts w:ascii="Times New Roman" w:cs="Times New Roman" w:eastAsia="Times New Roman" w:hAnsi="Times New Roman"/>
          <w:sz w:val="18"/>
          <w:szCs w:val="18"/>
          <w:u w:val="single" w:color="auto"/>
          <w:color w:val="auto"/>
        </w:rPr>
        <w:t>Mexican Anticorruption Laws</w:t>
      </w:r>
      <w:r>
        <w:rPr>
          <w:rFonts w:ascii="Times New Roman" w:cs="Times New Roman" w:eastAsia="Times New Roman" w:hAnsi="Times New Roman"/>
          <w:sz w:val="18"/>
          <w:szCs w:val="18"/>
          <w:color w:val="auto"/>
        </w:rPr>
        <w:t>”), or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law or regulation implementing the OECD Convention on Combating Bribery of Foreign Public Officials in International Business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Transactions, or committed an offence under the Bribery Act 2010 of the United Kingdom (the “</w:t>
      </w:r>
      <w:r>
        <w:rPr>
          <w:rFonts w:ascii="Times New Roman" w:cs="Times New Roman" w:eastAsia="Times New Roman" w:hAnsi="Times New Roman"/>
          <w:sz w:val="18"/>
          <w:szCs w:val="18"/>
          <w:u w:val="single" w:color="auto"/>
          <w:color w:val="auto"/>
        </w:rPr>
        <w:t>U.K. Bribery Act</w:t>
      </w:r>
      <w:r>
        <w:rPr>
          <w:rFonts w:ascii="Times New Roman" w:cs="Times New Roman" w:eastAsia="Times New Roman" w:hAnsi="Times New Roman"/>
          <w:sz w:val="18"/>
          <w:szCs w:val="18"/>
          <w:color w:val="auto"/>
        </w:rPr>
        <w:t>”), or any other applicable anti-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bribery or anti-corruption laws; or (iv) made, offered, agreed, requested or taken an act in furtherance of any unlawful bribe or other unlawful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benefit, including, without limitation, any rebate, payoff, influence payment, kickback or other unlawful or improper payment or benefit, except,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each case, for matters under investigation by the U.S. Department of Justice and the staff of the Commission, as disclosed under the heading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“Investigations related to ongoing matters in Colombia and certain other countries” in the Disclosure Package and the Final Prospectus (exclusive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of any amendment or supplement thereto after the Execution Time). Cemex and its Subsidiaries have instituted, and maintain and enforce, policies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procedures reasonably designed to promote and ensure compliance in all material respects with all applicable anti-bribery and anti-corruption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laws. Cemex will not directly or indirectly use the proceeds of the offering of the Securities hereunder in violation of the FCPA, the U.K. Bribery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 the Mexican Anticorruption Laws, or any similar applicable law.</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6" w:name="page17"/>
    <w:bookmarkEnd w:id="16"/>
    <w:p>
      <w:pPr>
        <w:ind w:right="40" w:firstLine="52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(pp)  On the Closing Date, after giving effect to the offering of the Securities, Cemex and its Subsidiaries, on a consolidated basis, will be Solvent.</w:t>
      </w:r>
    </w:p>
    <w:p>
      <w:pPr>
        <w:spacing w:after="0" w:line="54" w:lineRule="exact"/>
        <w:rPr>
          <w:sz w:val="20"/>
          <w:szCs w:val="20"/>
          <w:color w:val="auto"/>
        </w:rPr>
      </w:pPr>
    </w:p>
    <w:p>
      <w:pPr>
        <w:ind w:firstLine="529"/>
        <w:spacing w:after="0" w:line="266" w:lineRule="auto"/>
        <w:rPr>
          <w:sz w:val="20"/>
          <w:szCs w:val="20"/>
          <w:color w:val="auto"/>
        </w:rPr>
      </w:pPr>
      <w:r>
        <w:rPr>
          <w:rFonts w:ascii="Times New Roman" w:cs="Times New Roman" w:eastAsia="Times New Roman" w:hAnsi="Times New Roman"/>
          <w:sz w:val="18"/>
          <w:szCs w:val="18"/>
          <w:color w:val="auto"/>
        </w:rPr>
        <w:t>(qq)  Any certificate signed by any officer of Cemex or the Note Guarantor and delivered to the Representatives or counsel for the Underwriters in connection with the offering of the Securities shall be deemed a representation and warranty by Cemex and the Note Guarantor, as to matters covered thereby, to each Underwriter.</w:t>
      </w:r>
    </w:p>
    <w:p>
      <w:pPr>
        <w:spacing w:after="0" w:line="68" w:lineRule="exact"/>
        <w:rPr>
          <w:sz w:val="20"/>
          <w:szCs w:val="20"/>
          <w:color w:val="auto"/>
        </w:rPr>
      </w:pPr>
    </w:p>
    <w:p>
      <w:pPr>
        <w:ind w:firstLine="529"/>
        <w:spacing w:after="0" w:line="252" w:lineRule="auto"/>
        <w:rPr>
          <w:sz w:val="20"/>
          <w:szCs w:val="20"/>
          <w:color w:val="auto"/>
        </w:rPr>
      </w:pPr>
      <w:r>
        <w:rPr>
          <w:rFonts w:ascii="Times New Roman" w:cs="Times New Roman" w:eastAsia="Times New Roman" w:hAnsi="Times New Roman"/>
          <w:sz w:val="18"/>
          <w:szCs w:val="18"/>
          <w:color w:val="auto"/>
        </w:rPr>
        <w:t>(rr)  To Cemex’s knowledge, there has been no security breach or incident, unauthorized access or disclosure, or other compromise of or relating to Cemex or its Subsidiaries’ information technology and computer systems, networks, hardware, software, data and databases (including the data and information of their respective customers, employees, suppliers, vendors and any third party data maintained, processed or stored by Cemex and its Subsidiaries, and any such data processed or stored by third parties on behalf of Cemex and its Subsidiaries),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except for those that have been remediated without material cost or liability or the duty to notify any other person. Neither Cemex nor its Subsidiaries have been notified of, and have no knowledge of any event or condition that would result in, any security breach or incident, unauthorized access or disclosure or other compromise to their IT Systems and Data. Cemex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Cemex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where such non-compliance would not, individually or in the aggregate, reasonably be expected to have a Material Adverse Effect.</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7" w:name="page18"/>
    <w:bookmarkEnd w:id="17"/>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Subject to the terms and conditions and in reliance upon the representations and warranties herein set forth, Cemex agrees to sell to each Underwriter, and each Underwriter agrees, severally and not jointly, to purchase from Cemex, at a purchase price of 99.097%, of the principal amount of the Notes, plus accrued interest, if any, from June 5, 2026, to the Closing Date, the principal amount of Securities set forth opposite such Underwriter’s name in Schedule I hereto. The Underwriters may acquire the Securities through any of their Affiliates.</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Securities shall be made at 10:00 A.M., New York City time, on June 5, 2026, or at such time on such later date not more than three Business Days after the foregoing date as the Representatives shall designate, which date and time may be postponed by agreement between the Representatives and Cemex or as provided in Section 9 hereof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Cemex by wire transfer payable in same-day funds to the account specified by Cemex. Delivery of the Securities shall be made through the facilities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and any other relevant clearing system unless the Representatives shall otherwise instruct.</w:t>
      </w:r>
    </w:p>
    <w:p>
      <w:pPr>
        <w:spacing w:after="0" w:line="18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(a) It is understood that the several Underwriters propose to offer the Securities for sale to the public as set forth in the Final Prospectus.</w:t>
      </w:r>
    </w:p>
    <w:p>
      <w:pPr>
        <w:spacing w:after="0" w:line="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   Each Underwriter, severally and not jointly, represents and warrants to and agrees with Cemex that:</w:t>
      </w:r>
    </w:p>
    <w:p>
      <w:pPr>
        <w:spacing w:after="0" w:line="117" w:lineRule="exact"/>
        <w:rPr>
          <w:sz w:val="20"/>
          <w:szCs w:val="20"/>
          <w:color w:val="auto"/>
        </w:rPr>
      </w:pPr>
    </w:p>
    <w:p>
      <w:pPr>
        <w:ind w:left="980" w:right="220" w:firstLine="401"/>
        <w:spacing w:after="0" w:line="261" w:lineRule="auto"/>
        <w:rPr>
          <w:sz w:val="20"/>
          <w:szCs w:val="20"/>
          <w:color w:val="auto"/>
        </w:rPr>
      </w:pPr>
      <w:r>
        <w:rPr>
          <w:rFonts w:ascii="Times New Roman" w:cs="Times New Roman" w:eastAsia="Times New Roman" w:hAnsi="Times New Roman"/>
          <w:sz w:val="18"/>
          <w:szCs w:val="18"/>
          <w:color w:val="auto"/>
        </w:rPr>
        <w:t>(i)  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Securities, in circumstances in which Section 21(1) of the FSMA does not apply to Cemex or the Note Guarantor;</w:t>
      </w:r>
    </w:p>
    <w:p>
      <w:pPr>
        <w:spacing w:after="0" w:line="72" w:lineRule="exact"/>
        <w:rPr>
          <w:sz w:val="20"/>
          <w:szCs w:val="20"/>
          <w:color w:val="auto"/>
        </w:rPr>
      </w:pPr>
    </w:p>
    <w:p>
      <w:pPr>
        <w:ind w:left="980" w:right="220" w:firstLine="401"/>
        <w:spacing w:after="0" w:line="282" w:lineRule="auto"/>
        <w:rPr>
          <w:sz w:val="20"/>
          <w:szCs w:val="20"/>
          <w:color w:val="auto"/>
        </w:rPr>
      </w:pPr>
      <w:r>
        <w:rPr>
          <w:rFonts w:ascii="Times New Roman" w:cs="Times New Roman" w:eastAsia="Times New Roman" w:hAnsi="Times New Roman"/>
          <w:sz w:val="18"/>
          <w:szCs w:val="18"/>
          <w:color w:val="auto"/>
        </w:rPr>
        <w:t>(ii)  it has complied and will comply with all applicable provisions of the FSMA with respect to anything done by it in relation to the Securities in, from or otherwise involving the United Kingdom;</w:t>
      </w:r>
    </w:p>
    <w:p>
      <w:pPr>
        <w:spacing w:after="0" w:line="54" w:lineRule="exact"/>
        <w:rPr>
          <w:sz w:val="20"/>
          <w:szCs w:val="20"/>
          <w:color w:val="auto"/>
        </w:rPr>
      </w:pPr>
    </w:p>
    <w:p>
      <w:pPr>
        <w:ind w:left="980" w:right="120" w:firstLine="401"/>
        <w:spacing w:after="0" w:line="254" w:lineRule="auto"/>
        <w:rPr>
          <w:sz w:val="20"/>
          <w:szCs w:val="20"/>
          <w:color w:val="auto"/>
        </w:rPr>
      </w:pPr>
      <w:r>
        <w:rPr>
          <w:rFonts w:ascii="Times New Roman" w:cs="Times New Roman" w:eastAsia="Times New Roman" w:hAnsi="Times New Roman"/>
          <w:sz w:val="18"/>
          <w:szCs w:val="18"/>
          <w:color w:val="auto"/>
        </w:rPr>
        <w:t>(iii)  it has not offered, sold, or otherwise made available and will not offer, sell, or otherwise make available any Securities to any retail investor in the European Economic Area. For the purposes of this provision, the expression “retail investor” means a person who is one (or more) of the following: (a) a retail client as defined in point (11) of Article 4(1) of Directive 2014/65/EU (as amended or superseded, “</w:t>
      </w:r>
      <w:r>
        <w:rPr>
          <w:rFonts w:ascii="Times New Roman" w:cs="Times New Roman" w:eastAsia="Times New Roman" w:hAnsi="Times New Roman"/>
          <w:sz w:val="18"/>
          <w:szCs w:val="18"/>
          <w:u w:val="single" w:color="auto"/>
          <w:color w:val="auto"/>
        </w:rPr>
        <w:t>MiFID II</w:t>
      </w:r>
      <w:r>
        <w:rPr>
          <w:rFonts w:ascii="Times New Roman" w:cs="Times New Roman" w:eastAsia="Times New Roman" w:hAnsi="Times New Roman"/>
          <w:sz w:val="18"/>
          <w:szCs w:val="18"/>
          <w:color w:val="auto"/>
        </w:rPr>
        <w:t>”); (b) a customer within the meaning of Directive (EU) 2016/97 (as amended or superseded), where that customer would not qualify as a professional client as defined in point (10) of Article 4(1) of MiFID II; or (c) not a qualified investor as defined in Regulation (EU) 2017/1129; and the expression “offer” includes the communication in any form and by any means of sufficient information on the terms of the offer and the Securities to be offered so as to enable an investor to decide to purchase or subscribe the Securities.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8" w:name="page19"/>
    <w:bookmarkEnd w:id="18"/>
    <w:p>
      <w:pPr>
        <w:ind w:left="540" w:right="120" w:firstLine="40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  it has not offered, sold, distributed, or otherwise made available and will not offer, sell, distribute or otherwise make available any Securities to any retail investor in the United Kingdom. For the purposes of this provision the expression “retail investor” means a person who is (one or both) of the following: (a) not a professional client, as defined in point (8) of Article 2(1) of Regulation (EU) No 600/2014 as it forms part of domestic law by virtue of the European Union (Withdrawal) Act 2018; or (b) not a qualified investor as defined in paragraph 15 of Schedule 1 to the Public Offers and Admissions to Trading Regulations 2024; and the expression “offer” includes the communication in any form and by any means of sufficient information on the terms of the offer and the Securities to be offered so as to enable an investor to decide to purchase or subscribe the Securities.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Each of Cemex and the Note Guarantor agrees, jointly and severally, in each case with the several Underwriters:</w:t>
      </w:r>
    </w:p>
    <w:p>
      <w:pPr>
        <w:spacing w:after="0" w:line="117" w:lineRule="exact"/>
        <w:rPr>
          <w:sz w:val="20"/>
          <w:szCs w:val="20"/>
          <w:color w:val="auto"/>
        </w:rPr>
      </w:pPr>
    </w:p>
    <w:p>
      <w:pPr>
        <w:ind w:firstLine="529"/>
        <w:spacing w:after="0" w:line="252" w:lineRule="auto"/>
        <w:rPr>
          <w:sz w:val="20"/>
          <w:szCs w:val="20"/>
          <w:color w:val="auto"/>
        </w:rPr>
      </w:pPr>
      <w:r>
        <w:rPr>
          <w:rFonts w:ascii="Times New Roman" w:cs="Times New Roman" w:eastAsia="Times New Roman" w:hAnsi="Times New Roman"/>
          <w:sz w:val="18"/>
          <w:szCs w:val="18"/>
          <w:color w:val="auto"/>
        </w:rPr>
        <w:t>(a)  Prior to the termination of the offering of the Securities, Cemex will not file any amendment of the Registration Statement or supplement (including the Final Prospectus or any Preliminary Prospectus) to the Base Prospectus unless Cemex has furnished you a copy for your review prior to filing and will not file any such proposed amendment or supplement to which you reasonably object. Cemex will cause the Final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Cemex will promptly advise the Representatives (i) when the Final Prospectus, any supplement thereto, or any Issuer Free Writing Prospectus shall have been filed (if required) with the Commission pursuant to Rule 424(b), (ii) when, prior to termination of the offering of the Securities, any amendment to the Registration Statement shall have been filed, (iii) of any request by the Commission or its staff for any amendment of the Registration Statement, or any Rule 462(b) Registration Statement, or for any supplement to the Final Prospectus or for any additional information, (iv) of the issuance by the Commission or any other governmental or regulatory authority of any stop order suspending the effectiveness of the Registration Statement or preventing or suspending the use of the Preliminary Prospectus, the Final Prospectus, the Disclosure Package or any Issuer Free Writing Prospectus, or the institution or threatening of any proceeding for that purpose or pursuant to Section 8A of the Securities Act, (v) of the receipt by the Cemex of any notice of objection of the Commission to the use of the Registration Statement or any post-effective amendment thereto pursuant to Rule 401(g)(2) under the Securities Act; and (vi) of the receipt by Cemex of any notification with respect to the suspension of the qualification of the Securities for sale in any jurisdiction or the institution or threatening of any proceeding for such purpose. Cemex will use its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9" w:name="page20"/>
    <w:bookmarkEnd w:id="19"/>
    <w:p>
      <w:pPr>
        <w:jc w:val="both"/>
        <w:ind w:right="180" w:firstLine="52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Cemex will prepare a final term sheet, containing solely a description of final terms of the Securities and the offering thereof, in the form approved by you and attached as Schedule III hereto and will file such term sheet pursuant to Rule 433(d) within the time required by such rule.</w:t>
      </w:r>
    </w:p>
    <w:p>
      <w:pPr>
        <w:spacing w:after="0" w:line="68" w:lineRule="exact"/>
        <w:rPr>
          <w:sz w:val="20"/>
          <w:szCs w:val="20"/>
          <w:color w:val="auto"/>
        </w:rPr>
      </w:pPr>
    </w:p>
    <w:p>
      <w:pPr>
        <w:ind w:firstLine="529"/>
        <w:spacing w:after="0" w:line="254" w:lineRule="auto"/>
        <w:rPr>
          <w:sz w:val="20"/>
          <w:szCs w:val="20"/>
          <w:color w:val="auto"/>
        </w:rPr>
      </w:pPr>
      <w:r>
        <w:rPr>
          <w:rFonts w:ascii="Times New Roman" w:cs="Times New Roman" w:eastAsia="Times New Roman" w:hAnsi="Times New Roman"/>
          <w:sz w:val="18"/>
          <w:szCs w:val="18"/>
          <w:color w:val="auto"/>
        </w:rPr>
        <w:t xml:space="preserve">(c)  Cemex will not amend or supplement the Disclosure Package or the Final Prospectus other than by filing documents under the Exchange Act that are incorporated by reference therein, without the prior written consent of the Representatives, which consent, following the Closing Date, may not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the completion of the distribution of the Securities by the Underwriters (as determined by the Representatives and communicated to Cemex) and the filing of the Final Prospectus, Cemex will not file any document under the Exchange Act that is incorporated by reference in the Disclosure Package or the Final Prospectus unless, prior to such proposed filing, Cemex has furnished the Representatives with a copy of such document for their review and the Representatives have not reasonably objected to the filing of such document. Cemex will promptly advise the Representatives when any document filed under the Exchange Act that is incorporated by reference in the Disclosure Package or the Final Prospectus shall have been filed with the Commission.</w:t>
      </w:r>
    </w:p>
    <w:p>
      <w:pPr>
        <w:spacing w:after="0" w:line="84" w:lineRule="exact"/>
        <w:rPr>
          <w:sz w:val="20"/>
          <w:szCs w:val="20"/>
          <w:color w:val="auto"/>
        </w:rPr>
      </w:pPr>
    </w:p>
    <w:p>
      <w:pPr>
        <w:ind w:right="80" w:firstLine="529"/>
        <w:spacing w:after="0" w:line="254" w:lineRule="auto"/>
        <w:rPr>
          <w:sz w:val="20"/>
          <w:szCs w:val="20"/>
          <w:color w:val="auto"/>
        </w:rPr>
      </w:pPr>
      <w:r>
        <w:rPr>
          <w:rFonts w:ascii="Times New Roman" w:cs="Times New Roman" w:eastAsia="Times New Roman" w:hAnsi="Times New Roman"/>
          <w:sz w:val="18"/>
          <w:szCs w:val="18"/>
          <w:color w:val="auto"/>
        </w:rPr>
        <w:t>(d)  If, at any time prior to the filing of the Final Prospectus pursuant to Rule 424(b), any event occurs as a result of which the Disclosure Package or the Final Prospectus, as then amended or supplemented, would include any untrue statement of a material fact or omit to state any material fact necessary to make the statements therein, in the light of the circumstances under which they were made or the circumstances then prevailing, not misleading, or if it should be necessary to amend or supplement the Disclosure Package or the Final Prospectus to comply with applicable law, Cemex will promptly (i) notify the Representatives of any such event; (ii) subject to the requirements of Section 5(c), prepare an amendment or supplement that will correct such statement or omission or effect such compliance; and (iii) supply any supplemented or amended Disclosure Package or Final Prospectus to the several Underwriters and counsel for the Underwriters without charge in such quantities as they may reasonably request.</w:t>
      </w:r>
    </w:p>
    <w:p>
      <w:pPr>
        <w:spacing w:after="0" w:line="84" w:lineRule="exact"/>
        <w:rPr>
          <w:sz w:val="20"/>
          <w:szCs w:val="20"/>
          <w:color w:val="auto"/>
        </w:rPr>
      </w:pPr>
    </w:p>
    <w:p>
      <w:pPr>
        <w:ind w:right="40" w:firstLine="529"/>
        <w:spacing w:after="0" w:line="266" w:lineRule="auto"/>
        <w:rPr>
          <w:sz w:val="20"/>
          <w:szCs w:val="20"/>
          <w:color w:val="auto"/>
        </w:rPr>
      </w:pPr>
      <w:r>
        <w:rPr>
          <w:rFonts w:ascii="Times New Roman" w:cs="Times New Roman" w:eastAsia="Times New Roman" w:hAnsi="Times New Roman"/>
          <w:sz w:val="18"/>
          <w:szCs w:val="18"/>
          <w:color w:val="auto"/>
        </w:rPr>
        <w:t>(e)  Without the prior written consent of the Representatives, Cemex will not give to any prospective purchaser of the Securities any written information concerning the offering of the Securities other than materials contained in the Disclosure Package, the Final Prospectus or any other offering materials prepared by or with the prior written consent of the Representatives.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0" w:name="page21"/>
    <w:bookmarkEnd w:id="20"/>
    <w:p>
      <w:pPr>
        <w:ind w:right="80" w:firstLine="52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If, at any time when a prospectus relating to the Securities is required to be delivered under the Securities Act (including in circumstances where such requirement may be satisfied pursuant to Rule 172), any event occurs as a result of which the Final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file a new registration statement or supplement the Final Prospectus to comply with the Securities Act or the Exchange Act or the respective rules thereunder, including in connection with use or delivery of the Final Prospectus, Cemex promptly will (i) notify the Representatives of any such event, (ii) prepare and file with the Commission, subject to the second sentence of paragraph (a) of this Section 5,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84" w:lineRule="exact"/>
        <w:rPr>
          <w:sz w:val="20"/>
          <w:szCs w:val="20"/>
          <w:color w:val="auto"/>
        </w:rPr>
      </w:pPr>
    </w:p>
    <w:p>
      <w:pPr>
        <w:ind w:right="40" w:firstLine="529"/>
        <w:spacing w:after="0" w:line="256" w:lineRule="auto"/>
        <w:rPr>
          <w:sz w:val="20"/>
          <w:szCs w:val="20"/>
          <w:color w:val="auto"/>
        </w:rPr>
      </w:pPr>
      <w:r>
        <w:rPr>
          <w:rFonts w:ascii="Times New Roman" w:cs="Times New Roman" w:eastAsia="Times New Roman" w:hAnsi="Times New Roman"/>
          <w:sz w:val="18"/>
          <w:szCs w:val="18"/>
          <w:color w:val="auto"/>
        </w:rPr>
        <w:t>(g)  Cemex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as many copies of each Preliminary Prospectus, the Final Prospectus and each Issuer Free Writing Prospectus and any supplement thereto as the Representatives may reasonably request. Cemex will pay the expenses of printing or other production of all documents relating to the offering.</w:t>
      </w:r>
    </w:p>
    <w:p>
      <w:pPr>
        <w:spacing w:after="0" w:line="79" w:lineRule="exact"/>
        <w:rPr>
          <w:sz w:val="20"/>
          <w:szCs w:val="20"/>
          <w:color w:val="auto"/>
        </w:rPr>
      </w:pPr>
    </w:p>
    <w:p>
      <w:pPr>
        <w:ind w:right="100" w:firstLine="529"/>
        <w:spacing w:after="0" w:line="266" w:lineRule="auto"/>
        <w:rPr>
          <w:sz w:val="20"/>
          <w:szCs w:val="20"/>
          <w:color w:val="auto"/>
        </w:rPr>
      </w:pPr>
      <w:r>
        <w:rPr>
          <w:rFonts w:ascii="Times New Roman" w:cs="Times New Roman" w:eastAsia="Times New Roman" w:hAnsi="Times New Roman"/>
          <w:sz w:val="18"/>
          <w:szCs w:val="18"/>
          <w:color w:val="auto"/>
        </w:rPr>
        <w:t>(h)  As soon as practicable, Cemex will make generally available to its security holders and to the Representatives, an earnings statement or statements of Cemex and its Subsidiaries which will satisfy the provisions of Section 11(a) of the Securities Act and Rule 158 under the Securities Act.</w:t>
      </w:r>
    </w:p>
    <w:p>
      <w:pPr>
        <w:spacing w:after="0" w:line="68" w:lineRule="exact"/>
        <w:rPr>
          <w:sz w:val="20"/>
          <w:szCs w:val="20"/>
          <w:color w:val="auto"/>
        </w:rPr>
      </w:pPr>
    </w:p>
    <w:p>
      <w:pPr>
        <w:ind w:firstLine="529"/>
        <w:spacing w:after="0" w:line="255" w:lineRule="auto"/>
        <w:rPr>
          <w:sz w:val="20"/>
          <w:szCs w:val="20"/>
          <w:color w:val="auto"/>
        </w:rPr>
      </w:pPr>
      <w:r>
        <w:rPr>
          <w:rFonts w:ascii="Times New Roman" w:cs="Times New Roman" w:eastAsia="Times New Roman" w:hAnsi="Times New Roman"/>
          <w:sz w:val="18"/>
          <w:szCs w:val="18"/>
          <w:color w:val="auto"/>
        </w:rPr>
        <w:t>(i)  Cemex will arrange, if necessary, for the qualification of the Securities for sale by the Underwriters under the laws of such jurisdictions as the Representatives may designate (including certain provinces of Canada) and will maintain such qualifications in effect so long as required for the sale of the Securities; provided that in no event shall Cemex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 Cemex will promptly advise the Representatives of the receipt by it of any notification with respect to the suspension of the qualification of the Securities for sale in any jurisdiction or the initiation or threatening of any proceeding for such purpose.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21" w:name="page22"/>
    <w:bookmarkEnd w:id="21"/>
    <w:p>
      <w:pPr>
        <w:ind w:firstLine="52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  As required under Article 7 of the Mexican Securities Market Law (</w:t>
      </w:r>
      <w:r>
        <w:rPr>
          <w:rFonts w:ascii="Times New Roman" w:cs="Times New Roman" w:eastAsia="Times New Roman" w:hAnsi="Times New Roman"/>
          <w:sz w:val="18"/>
          <w:szCs w:val="18"/>
          <w:i w:val="1"/>
          <w:iCs w:val="1"/>
          <w:color w:val="auto"/>
        </w:rPr>
        <w:t>Ley del Mercado de Valores</w:t>
      </w:r>
      <w:r>
        <w:rPr>
          <w:rFonts w:ascii="Times New Roman" w:cs="Times New Roman" w:eastAsia="Times New Roman" w:hAnsi="Times New Roman"/>
          <w:sz w:val="18"/>
          <w:szCs w:val="18"/>
          <w:color w:val="auto"/>
        </w:rPr>
        <w:t>) and regulations thereunder, Cemex will, no later than one Business Day after the Closing Date, notify the Mexican National Banking and Securities Commission (</w:t>
      </w:r>
      <w:r>
        <w:rPr>
          <w:rFonts w:ascii="Times New Roman" w:cs="Times New Roman" w:eastAsia="Times New Roman" w:hAnsi="Times New Roman"/>
          <w:sz w:val="18"/>
          <w:szCs w:val="18"/>
          <w:i w:val="1"/>
          <w:iCs w:val="1"/>
          <w:color w:val="auto"/>
        </w:rPr>
        <w:t>Comisión Nacional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Bancaria y de Valores</w:t>
      </w:r>
      <w:r>
        <w:rPr>
          <w:rFonts w:ascii="Times New Roman" w:cs="Times New Roman" w:eastAsia="Times New Roman" w:hAnsi="Times New Roman"/>
          <w:sz w:val="18"/>
          <w:szCs w:val="18"/>
          <w:color w:val="auto"/>
        </w:rPr>
        <w:t>) of the issuance and offering of the Securities as described herein and in the Disclosure Package and in the Final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 copies of the corresponding offering documents to the Mexican National Banking and Securities Commission within the time period required under the Mexican Securities Market Law (</w:t>
      </w:r>
      <w:r>
        <w:rPr>
          <w:rFonts w:ascii="Times New Roman" w:cs="Times New Roman" w:eastAsia="Times New Roman" w:hAnsi="Times New Roman"/>
          <w:sz w:val="18"/>
          <w:szCs w:val="18"/>
          <w:i w:val="1"/>
          <w:iCs w:val="1"/>
          <w:color w:val="auto"/>
        </w:rPr>
        <w:t>Ley del Mercado de Valores</w:t>
      </w:r>
      <w:r>
        <w:rPr>
          <w:rFonts w:ascii="Times New Roman" w:cs="Times New Roman" w:eastAsia="Times New Roman" w:hAnsi="Times New Roman"/>
          <w:sz w:val="18"/>
          <w:szCs w:val="18"/>
          <w:color w:val="auto"/>
        </w:rPr>
        <w:t>) and regulations thereunder, and within the time period required under applicable regulations, notify the Mexican Tax Administration Service (</w:t>
      </w:r>
      <w:r>
        <w:rPr>
          <w:rFonts w:ascii="Times New Roman" w:cs="Times New Roman" w:eastAsia="Times New Roman" w:hAnsi="Times New Roman"/>
          <w:sz w:val="18"/>
          <w:szCs w:val="18"/>
          <w:i w:val="1"/>
          <w:iCs w:val="1"/>
          <w:color w:val="auto"/>
        </w:rPr>
        <w:t>Servicio de Administración Tributaria</w:t>
      </w:r>
      <w:r>
        <w:rPr>
          <w:rFonts w:ascii="Times New Roman" w:cs="Times New Roman" w:eastAsia="Times New Roman" w:hAnsi="Times New Roman"/>
          <w:sz w:val="18"/>
          <w:szCs w:val="18"/>
          <w:color w:val="auto"/>
        </w:rPr>
        <w:t>) under applicable tax law and regulations, in respect of the issuance of the Securities and of the principal terms and conditions of the offering and the Securities, and shall furnish copies of such notices to the Representatives and U.S. and Mexican special counsel to the Underwriters.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   [Reserved.]</w:t>
      </w:r>
    </w:p>
    <w:p>
      <w:pPr>
        <w:spacing w:after="0" w:line="117" w:lineRule="exact"/>
        <w:rPr>
          <w:sz w:val="20"/>
          <w:szCs w:val="20"/>
          <w:color w:val="auto"/>
        </w:rPr>
      </w:pPr>
    </w:p>
    <w:p>
      <w:pPr>
        <w:ind w:right="400" w:firstLine="529"/>
        <w:spacing w:after="0" w:line="266" w:lineRule="auto"/>
        <w:rPr>
          <w:sz w:val="20"/>
          <w:szCs w:val="20"/>
          <w:color w:val="auto"/>
        </w:rPr>
      </w:pPr>
      <w:r>
        <w:rPr>
          <w:rFonts w:ascii="Times New Roman" w:cs="Times New Roman" w:eastAsia="Times New Roman" w:hAnsi="Times New Roman"/>
          <w:sz w:val="18"/>
          <w:szCs w:val="18"/>
          <w:color w:val="auto"/>
        </w:rPr>
        <w:t>(l)  Cemex will cooperate with the Representatives and use its best efforts to permit the Securities to be eligible for clearance and settlement through DTC, Euroclear Bank SA/NV (“</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and Clearstream Banking, S.A. (“</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as applicable, and any other relevant clearing system.</w:t>
      </w:r>
    </w:p>
    <w:p>
      <w:pPr>
        <w:spacing w:after="0" w:line="68" w:lineRule="exact"/>
        <w:rPr>
          <w:sz w:val="20"/>
          <w:szCs w:val="20"/>
          <w:color w:val="auto"/>
        </w:rPr>
      </w:pPr>
    </w:p>
    <w:p>
      <w:pPr>
        <w:ind w:right="40" w:firstLine="529"/>
        <w:spacing w:after="0" w:line="254" w:lineRule="auto"/>
        <w:rPr>
          <w:sz w:val="20"/>
          <w:szCs w:val="20"/>
          <w:color w:val="auto"/>
        </w:rPr>
      </w:pPr>
      <w:r>
        <w:rPr>
          <w:rFonts w:ascii="Times New Roman" w:cs="Times New Roman" w:eastAsia="Times New Roman" w:hAnsi="Times New Roman"/>
          <w:sz w:val="18"/>
          <w:szCs w:val="18"/>
          <w:color w:val="auto"/>
        </w:rPr>
        <w:t xml:space="preserve">(m)  Neither Cemex nor the Note Guarantor will, for a period of 10 days following the Execution Time, without the prior written consent of the Representatives, which consent shall not be unreasonably withheld, offer, sell, contract to sell, pledge, or otherwise dispose of, or enter into any transaction which is designed to, or might reasonably be expected to, result in the disposition (whether by actual disposition or effective economic disposition due to cash settlement or otherwise) by Cemex, the Note Guarantor, any Affiliate of Cemex or any person in privity with Cemex or the Note Guarantor, directly or indirectly, or announce the offering of, any debt securities in the international capital markets that are issued or guaranteed by Cemex or the Note Guarantor that are substantially similar to the Securities (other than the Securities and convertible subordinated or exchangeable securities of Cemex);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nothing herein shall be deemed to restrict the ability of Cemex or the Note Guarantor to offer, sell, contract to sell, pledge or otherwise dispose of or announce an offering of </w:t>
      </w:r>
      <w:r>
        <w:rPr>
          <w:rFonts w:ascii="Times New Roman" w:cs="Times New Roman" w:eastAsia="Times New Roman" w:hAnsi="Times New Roman"/>
          <w:sz w:val="18"/>
          <w:szCs w:val="18"/>
          <w:i w:val="1"/>
          <w:iCs w:val="1"/>
          <w:color w:val="auto"/>
        </w:rPr>
        <w:t xml:space="preserve">certificados bursátiles </w:t>
      </w:r>
      <w:r>
        <w:rPr>
          <w:rFonts w:ascii="Times New Roman" w:cs="Times New Roman" w:eastAsia="Times New Roman" w:hAnsi="Times New Roman"/>
          <w:sz w:val="18"/>
          <w:szCs w:val="18"/>
          <w:color w:val="auto"/>
        </w:rPr>
        <w:t>in the local Mexican market and to enter into securitization transactions.</w:t>
      </w:r>
    </w:p>
    <w:p>
      <w:pPr>
        <w:spacing w:after="0" w:line="80" w:lineRule="exact"/>
        <w:rPr>
          <w:sz w:val="20"/>
          <w:szCs w:val="20"/>
          <w:color w:val="auto"/>
        </w:rPr>
      </w:pPr>
    </w:p>
    <w:p>
      <w:pPr>
        <w:ind w:right="20" w:firstLine="529"/>
        <w:spacing w:after="0" w:line="266" w:lineRule="auto"/>
        <w:rPr>
          <w:sz w:val="20"/>
          <w:szCs w:val="20"/>
          <w:color w:val="auto"/>
        </w:rPr>
      </w:pPr>
      <w:r>
        <w:rPr>
          <w:rFonts w:ascii="Times New Roman" w:cs="Times New Roman" w:eastAsia="Times New Roman" w:hAnsi="Times New Roman"/>
          <w:sz w:val="18"/>
          <w:szCs w:val="18"/>
          <w:color w:val="auto"/>
        </w:rPr>
        <w:t>(n)  Cemex will not take, directly or indirectly, any action designed to or that would constitute or that might reasonably be expected to cause or result in, under the Exchange Act or otherwise, stabilization or manipulation of the price of any security of Cemex to facilitate the sale or resale of the Securities.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880" w:top="268" w:right="479" w:bottom="1440" w:gutter="0" w:footer="0" w:header="0"/>
        </w:sectPr>
      </w:pPr>
    </w:p>
    <w:bookmarkStart w:id="22" w:name="page23"/>
    <w:bookmarkEnd w:id="22"/>
    <w:p>
      <w:pPr>
        <w:ind w:right="100" w:firstLine="52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  Cemex will, for a period of twelve months following the Execution Time, furnish to the Representatives (i) all reports or other communications (financial or other) generally made available to its shareholders, and deliver such reports and communications to the Representatives as soon as they are available, unless such documents are furnished to or filed with the Commission or any securities exchange on which any class of securities of Cemex is listed and generally made available to the public and (ii) such additional information concerning the business and financial condition of Cemex as the Representatives may from time to time reasonably request (such statements to be on a consolidated basis to the extent the accounts of Cemex and its Subsidiaries are consolidated in reports furnished to its shareholders).</w:t>
      </w:r>
    </w:p>
    <w:p>
      <w:pPr>
        <w:spacing w:after="0" w:line="79" w:lineRule="exact"/>
        <w:rPr>
          <w:sz w:val="20"/>
          <w:szCs w:val="20"/>
          <w:color w:val="auto"/>
        </w:rPr>
      </w:pPr>
    </w:p>
    <w:p>
      <w:pPr>
        <w:ind w:firstLine="529"/>
        <w:spacing w:after="0" w:line="289" w:lineRule="auto"/>
        <w:rPr>
          <w:sz w:val="20"/>
          <w:szCs w:val="20"/>
          <w:color w:val="auto"/>
        </w:rPr>
      </w:pPr>
      <w:r>
        <w:rPr>
          <w:rFonts w:ascii="Times New Roman" w:cs="Times New Roman" w:eastAsia="Times New Roman" w:hAnsi="Times New Roman"/>
          <w:sz w:val="17"/>
          <w:szCs w:val="17"/>
          <w:color w:val="auto"/>
        </w:rPr>
        <w:t>(p)  Cemex will comply with all applicable securities and other laws, rules and regulations, including, without limitation, the Sarbanes-Oxley Act, to the extent applicable to Cemex, and use its best efforts to cause Cemex’s directors and officers, in their capacities as such, to comply with such laws, rules and regulations, including, without limitation, the provisions of the Sarbanes-Oxley Act, to the extent applicable to Cemex.</w:t>
      </w:r>
    </w:p>
    <w:p>
      <w:pPr>
        <w:spacing w:after="0" w:line="50" w:lineRule="exact"/>
        <w:rPr>
          <w:sz w:val="20"/>
          <w:szCs w:val="20"/>
          <w:color w:val="auto"/>
        </w:rPr>
      </w:pPr>
    </w:p>
    <w:p>
      <w:pPr>
        <w:ind w:right="40" w:firstLine="529"/>
        <w:spacing w:after="0" w:line="252" w:lineRule="auto"/>
        <w:rPr>
          <w:sz w:val="20"/>
          <w:szCs w:val="20"/>
          <w:color w:val="auto"/>
        </w:rPr>
      </w:pPr>
      <w:r>
        <w:rPr>
          <w:rFonts w:ascii="Times New Roman" w:cs="Times New Roman" w:eastAsia="Times New Roman" w:hAnsi="Times New Roman"/>
          <w:sz w:val="18"/>
          <w:szCs w:val="18"/>
          <w:color w:val="auto"/>
        </w:rPr>
        <w:t>(q)  Cemex and the Note Guarantor agree, jointly and severally, to pay the costs and expenses relating to the following matters: (i) the preparation of the Indenture and the issuance of the Securities and the fees of the Trustee and any paying agent and transfer agent identified in the Indenture; (ii) the preparation, printing or reproduction and filing with the Commission of the Registration Statement (including financial statements and exhibits thereto), each Preliminary Prospectus, the Final Prospectus and each Issuer Free Writing Prospectus, and each amendment or supplement to any of them; (iii) the printing (or reproduction) and delivery (including postage, air freight charges and charges for counting and packaging) of such copies of the materials contained in the Disclosure Package and the Final Prospectus and all amendments or supplements to any of them, as may, in each case, be reasonably requested for use in connection with the offering and sale of the Securities; (iv) the preparation, printing, authentication, issuance, delivery and settlement of the Securities, including any stamp or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the registration of the Securities under the Exchange Act and the listing of the Securities on NYSE; (vii) any filings required to be made with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(including filing fees and the reasonable fees and expenses of counsel for the Underwriters relating to such filings); (viii) any registration or qualification of the Securities for offer and sale under the securities or blue sky laws of the several states, the provinces of Canada and any other jurisdictions specified pursuant to Section 5(i) (including filing fees and the reasonable fees and expenses of counsel for the Underwriters relating to such registration and qualification); (ix) the transportation and other expenses incurred by or on behalf of Cemex’s representatives in connection with presentations to prospective purchasers of the Securities, including any travel, lodging or other expenses incurred in connection with any virtual or in-person roadshow presentations; (x) the fees and expenses of Cemex’s accountants and the fees and expenses of counsel (including local and special counsel) for Cemex and the Note Guarantor; (xi) the fees and expenses incurred in connection with the rating of the Securities by Standard &amp; Poor’s and Fitch Ratings; and (xii) all other costs and expenses incident to the performance by Cemex and the Note Guarantor of their obligations hereunder.</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70" w:right="459" w:bottom="1440" w:gutter="0" w:footer="0" w:header="0"/>
        </w:sectPr>
      </w:pPr>
    </w:p>
    <w:bookmarkStart w:id="23" w:name="page24"/>
    <w:bookmarkEnd w:id="23"/>
    <w:p>
      <w:pPr>
        <w:ind w:left="440" w:right="60" w:firstLine="52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  Cemex and the Note Guarantor agree, jointly and severally, to reimburse the Representatives, on behalf of the Underwriters, for all their reasonable expenses incurred in connection with the sale of the Securities provided for herein (including, without limitation, reasonable fees, disbursements and expenses of legal advisors as to U.S. and Mexican law for the Underwriters). The reimbursement obligations of Cemex in respect of the legal advisors for the Underwriters pursuant to this Section 5(r) and Section 7 hereof will be limited to $450,000 plus VAT, as applicable (excluding reimbursements in respect of disbursements and expenses of such legal advisors).</w:t>
      </w:r>
    </w:p>
    <w:p>
      <w:pPr>
        <w:spacing w:after="0" w:line="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   Cemex agrees that, unless it has or shall have obtained the prior written consent of the Representatives, and each Underwriter,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severally and not jointly, agrees with Cemex that, unless it has or shall have obtained, as the case may be, the prior written consent of Cemex, it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has not made and will not make any offer relating to the Securities that would constitute an Issuer Free Writing Prospectus or that would otherwise</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constitute a Free Writing Prospectus required to be filed by Cemex with the Commission or retained by Cemex under Rule 433 under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Act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other than a free writing prospectus containing the information contained in the final term sheet specified in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5(b) hereto; provided that the prior written consent of the parties hereto shall be deemed to have been given in respect of the Free Writing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Prospectuses included in Schedule II hereto. Any such free writing prospectus consented to by the Representatives or Cemex is hereinafter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Cemex agrees that (x) it has treated and will treat, as the case may be, each Permitted Free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Writing Prospectus as an Issuer Free Writing Prospectus and (y) it has complied and will comply, as the case may be, with the requirements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Rule 164 under the Securities Act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and Rule 433 applicable to any Permitted Free Writing Prospectus, including in respect of timely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filing with the Commission, legending and record keeping.</w:t>
      </w:r>
    </w:p>
    <w:p>
      <w:pPr>
        <w:spacing w:after="0" w:line="99" w:lineRule="exact"/>
        <w:rPr>
          <w:sz w:val="20"/>
          <w:szCs w:val="20"/>
          <w:color w:val="auto"/>
        </w:rPr>
      </w:pPr>
    </w:p>
    <w:p>
      <w:pPr>
        <w:ind w:left="440" w:right="20" w:firstLine="529"/>
        <w:spacing w:after="0" w:line="282" w:lineRule="auto"/>
        <w:rPr>
          <w:sz w:val="20"/>
          <w:szCs w:val="20"/>
          <w:color w:val="auto"/>
        </w:rPr>
      </w:pPr>
      <w:r>
        <w:rPr>
          <w:rFonts w:ascii="Times New Roman" w:cs="Times New Roman" w:eastAsia="Times New Roman" w:hAnsi="Times New Roman"/>
          <w:sz w:val="18"/>
          <w:szCs w:val="18"/>
          <w:color w:val="auto"/>
        </w:rPr>
        <w:t>(t)  Cemex will apply the aggregate net proceeds from the offering of the Securities in the manner specified in the Disclosure Package and the Final Prospectus under the heading “Use of Proceeds.”</w:t>
      </w:r>
    </w:p>
    <w:p>
      <w:pPr>
        <w:spacing w:after="0" w:line="162"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obligations of the Underwriters to purchase the Securities shall be subject to the accuracy of the representations and warranties on the part of Cemex and the Note Guarantor contained herein as of the Execution Time and the Closing Date, to the accuracy of the statements of Cemex and the Note Guarantor made in any certificates pursuant to the provisions hereof, to the performance by Cemex and the Note Guarantor of its obligations hereunder and to the following additional conditions:</w:t>
      </w:r>
    </w:p>
    <w:p>
      <w:pPr>
        <w:spacing w:after="0" w:line="72" w:lineRule="exact"/>
        <w:rPr>
          <w:sz w:val="20"/>
          <w:szCs w:val="20"/>
          <w:color w:val="auto"/>
        </w:rPr>
      </w:pPr>
    </w:p>
    <w:p>
      <w:pPr>
        <w:ind w:left="440" w:right="60" w:firstLine="529"/>
        <w:spacing w:after="0" w:line="254" w:lineRule="auto"/>
        <w:rPr>
          <w:sz w:val="20"/>
          <w:szCs w:val="20"/>
          <w:color w:val="auto"/>
        </w:rPr>
      </w:pPr>
      <w:r>
        <w:rPr>
          <w:rFonts w:ascii="Times New Roman" w:cs="Times New Roman" w:eastAsia="Times New Roman" w:hAnsi="Times New Roman"/>
          <w:sz w:val="18"/>
          <w:szCs w:val="18"/>
          <w:color w:val="auto"/>
        </w:rPr>
        <w:t>(a)  (i) The Final Prospectus, and any supplement thereto, have been filed in the manner and within the time period required by Rule 424(b); (ii) the final term sheet contemplated by Section 5(b) hereto and any other material required to be filed by Cemex pursuant to Rule 433(d) shall have been filed with the Commission within the applicable time periods prescribed for such filings by Rule 433; (iii) the Registration Statement has become effective; (iv) no stop order suspending the effectiveness of the Registration Statement or any notice objecting to its use shall have been issued and no proceedings for that purpose shall have been instituted or threatened, (v) no proceeding for the purpose of any of the foregoing clause (iv) or pursuant to Section 8A of the Securities Act against Cemex or in connection with the offering of the Securities shall be pending or, to the knowledge of Cemex, threatened by the SEC; (vi) and all requests for additional information on the part of the Commission shall have been complied with to the Representatives’ reasonable satisfaction.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ind w:right="20" w:firstLine="52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Cemex shall have requested and caused Skadden, Arps, Slate, Meagher &amp; Flom LLP, special U.S. counsel to Cemex and the Note Guarantor, to furnish to the Representatives its corporate opinion, tax opinion, and negative assurance letter, each dated as of the Closing Date and addressed to the Representatives, in terms reasonably acceptable to the Representatives.</w:t>
      </w:r>
    </w:p>
    <w:p>
      <w:pPr>
        <w:spacing w:after="0" w:line="68" w:lineRule="exact"/>
        <w:rPr>
          <w:sz w:val="20"/>
          <w:szCs w:val="20"/>
          <w:color w:val="auto"/>
        </w:rPr>
      </w:pPr>
    </w:p>
    <w:p>
      <w:pPr>
        <w:ind w:right="20" w:firstLine="529"/>
        <w:spacing w:after="0" w:line="266" w:lineRule="auto"/>
        <w:rPr>
          <w:sz w:val="20"/>
          <w:szCs w:val="20"/>
          <w:color w:val="auto"/>
        </w:rPr>
      </w:pPr>
      <w:r>
        <w:rPr>
          <w:rFonts w:ascii="Times New Roman" w:cs="Times New Roman" w:eastAsia="Times New Roman" w:hAnsi="Times New Roman"/>
          <w:sz w:val="18"/>
          <w:szCs w:val="18"/>
          <w:color w:val="auto"/>
        </w:rPr>
        <w:t>(c)  Cemex shall have requested and caused Mr. Roger Saldaña Madero, General Counsel for Cemex, to furnish to the Representatives his written opinion, subject to certain applicable exceptions, qualifications and conditions acceptable to the Representatives, dated as of the Closing Date and addressed to the Representatives, in terms reasonably acceptable to the Representatives.</w:t>
      </w:r>
    </w:p>
    <w:p>
      <w:pPr>
        <w:spacing w:after="0" w:line="68" w:lineRule="exact"/>
        <w:rPr>
          <w:sz w:val="20"/>
          <w:szCs w:val="20"/>
          <w:color w:val="auto"/>
        </w:rPr>
      </w:pPr>
    </w:p>
    <w:p>
      <w:pPr>
        <w:ind w:firstLine="529"/>
        <w:spacing w:after="0" w:line="258" w:lineRule="auto"/>
        <w:rPr>
          <w:sz w:val="20"/>
          <w:szCs w:val="20"/>
          <w:color w:val="auto"/>
        </w:rPr>
      </w:pPr>
      <w:r>
        <w:rPr>
          <w:rFonts w:ascii="Times New Roman" w:cs="Times New Roman" w:eastAsia="Times New Roman" w:hAnsi="Times New Roman"/>
          <w:sz w:val="18"/>
          <w:szCs w:val="18"/>
          <w:color w:val="auto"/>
        </w:rPr>
        <w:t>(d)  The Representatives shall have received from Cleary Gottlieb Steen &amp; Hamilton LLP and Galicia Abogados, S.C., special counsel for the Underwriters, such opinion or opinions, dated as of the Closing Date and addressed to the Representatives, with respect to the issuance and sale of the Securities, the Indenture, the Disclosure Package, the Final Prospectus (as amended or supplemented as of the Closing Date) and other related matters as the Representatives may reasonably require, and Cemex and the Note Guarantor shall have furnished to such counsel such documents as they request for the purpose of enabling them to pass upon such matters.</w:t>
      </w:r>
    </w:p>
    <w:p>
      <w:pPr>
        <w:spacing w:after="0" w:line="75" w:lineRule="exact"/>
        <w:rPr>
          <w:sz w:val="20"/>
          <w:szCs w:val="20"/>
          <w:color w:val="auto"/>
        </w:rPr>
      </w:pPr>
    </w:p>
    <w:p>
      <w:pPr>
        <w:ind w:right="160" w:firstLine="529"/>
        <w:spacing w:after="0" w:line="282" w:lineRule="auto"/>
        <w:rPr>
          <w:sz w:val="20"/>
          <w:szCs w:val="20"/>
          <w:color w:val="auto"/>
        </w:rPr>
      </w:pPr>
      <w:r>
        <w:rPr>
          <w:rFonts w:ascii="Times New Roman" w:cs="Times New Roman" w:eastAsia="Times New Roman" w:hAnsi="Times New Roman"/>
          <w:sz w:val="18"/>
          <w:szCs w:val="18"/>
          <w:color w:val="auto"/>
        </w:rPr>
        <w:t>(e)  Cemex and the Note Guarantor shall have furnished to the Representatives a certificate of an executive officer or an attorney-in-fact of Cemex, dated as of the Closing Date, substantially in the form of Schedule IV attached hereto.</w:t>
      </w:r>
    </w:p>
    <w:p>
      <w:pPr>
        <w:spacing w:after="0" w:line="54" w:lineRule="exact"/>
        <w:rPr>
          <w:sz w:val="20"/>
          <w:szCs w:val="20"/>
          <w:color w:val="auto"/>
        </w:rPr>
      </w:pPr>
    </w:p>
    <w:p>
      <w:pPr>
        <w:ind w:firstLine="529"/>
        <w:spacing w:after="0" w:line="266" w:lineRule="auto"/>
        <w:rPr>
          <w:sz w:val="20"/>
          <w:szCs w:val="20"/>
          <w:color w:val="auto"/>
        </w:rPr>
      </w:pPr>
      <w:r>
        <w:rPr>
          <w:rFonts w:ascii="Times New Roman" w:cs="Times New Roman" w:eastAsia="Times New Roman" w:hAnsi="Times New Roman"/>
          <w:sz w:val="18"/>
          <w:szCs w:val="18"/>
          <w:color w:val="auto"/>
        </w:rPr>
        <w:t>(f)  At the Execution Time and at the Closing Date, Cemex shall have furnished to the Representatives a certificate, signed by the Executive Vice President of Finance and Administration and Chief Financial Officer of Cemex, dated respectively as of the Execution Time and as of the Closing Date, in terms reasonably acceptable to the Representatives.</w:t>
      </w:r>
    </w:p>
    <w:p>
      <w:pPr>
        <w:spacing w:after="0" w:line="68" w:lineRule="exact"/>
        <w:rPr>
          <w:sz w:val="20"/>
          <w:szCs w:val="20"/>
          <w:color w:val="auto"/>
        </w:rPr>
      </w:pPr>
    </w:p>
    <w:p>
      <w:pPr>
        <w:jc w:val="both"/>
        <w:ind w:right="360" w:firstLine="529"/>
        <w:spacing w:after="0" w:line="266" w:lineRule="auto"/>
        <w:rPr>
          <w:sz w:val="20"/>
          <w:szCs w:val="20"/>
          <w:color w:val="auto"/>
        </w:rPr>
      </w:pPr>
      <w:r>
        <w:rPr>
          <w:rFonts w:ascii="Times New Roman" w:cs="Times New Roman" w:eastAsia="Times New Roman" w:hAnsi="Times New Roman"/>
          <w:sz w:val="18"/>
          <w:szCs w:val="18"/>
          <w:color w:val="auto"/>
        </w:rPr>
        <w:t>(g)  At the Execution Time and on the Closing Date, Cemex shall have requested and caused KPMG to furnish to the Representatives comfort letters, dated respectively as of the Execution Time and as of the Closing Date, addressed to the Representatives, in terms reasonably acceptable to the Representatives.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25" w:name="page26"/>
    <w:bookmarkEnd w:id="25"/>
    <w:p>
      <w:pPr>
        <w:ind w:left="440" w:firstLine="52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Subsequent to the Execution Time or, if earlier, the dates as of which information is given in the Disclosure Package (exclusive of any amendment or supplement thereto after the Execution Time) and the Final Prospectus (exclusive of any amendment or supplement thereto after the Execution Time), there shall not have been (i) any change, increase or decrease specified in the letter or letters referred to in paragraph (g) of this Section 6 or (ii) any change, or any development involving a prospective change, in or affecting the condition (financial or otherwise), prospects, earnings, business or properties of Cemex and its Subsidiaries taken as a whole, whether or not arising from transactions in the ordinary course of business, except as set forth in or contemplated in the Disclosure Package and the Final Prospectus (exclusive of any amendment or supplement thereto after the Execution Time)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 after the Execution Time).</w:t>
      </w:r>
    </w:p>
    <w:p>
      <w:pPr>
        <w:spacing w:after="0" w:line="86" w:lineRule="exact"/>
        <w:rPr>
          <w:sz w:val="20"/>
          <w:szCs w:val="20"/>
          <w:color w:val="auto"/>
        </w:rPr>
      </w:pPr>
    </w:p>
    <w:p>
      <w:pPr>
        <w:ind w:left="440" w:right="300" w:firstLine="529"/>
        <w:spacing w:after="0" w:line="282" w:lineRule="auto"/>
        <w:rPr>
          <w:sz w:val="20"/>
          <w:szCs w:val="20"/>
          <w:color w:val="auto"/>
        </w:rPr>
      </w:pPr>
      <w:r>
        <w:rPr>
          <w:rFonts w:ascii="Times New Roman" w:cs="Times New Roman" w:eastAsia="Times New Roman" w:hAnsi="Times New Roman"/>
          <w:sz w:val="18"/>
          <w:szCs w:val="18"/>
          <w:color w:val="auto"/>
        </w:rPr>
        <w:t>(i)  The Securities shall be eligible for clearance and settlement through DTC, Euroclear and Clearstream, as applicable, and any other relevant clearing system.</w:t>
      </w:r>
    </w:p>
    <w:p>
      <w:pPr>
        <w:spacing w:after="0" w:line="54" w:lineRule="exact"/>
        <w:rPr>
          <w:sz w:val="20"/>
          <w:szCs w:val="20"/>
          <w:color w:val="auto"/>
        </w:rPr>
      </w:pPr>
    </w:p>
    <w:p>
      <w:pPr>
        <w:ind w:left="440" w:right="80" w:firstLine="529"/>
        <w:spacing w:after="0" w:line="261" w:lineRule="auto"/>
        <w:rPr>
          <w:sz w:val="20"/>
          <w:szCs w:val="20"/>
          <w:color w:val="auto"/>
        </w:rPr>
      </w:pPr>
      <w:r>
        <w:rPr>
          <w:rFonts w:ascii="Times New Roman" w:cs="Times New Roman" w:eastAsia="Times New Roman" w:hAnsi="Times New Roman"/>
          <w:sz w:val="18"/>
          <w:szCs w:val="18"/>
          <w:color w:val="auto"/>
        </w:rPr>
        <w:t>(j)  Subsequent to the Execution Time, there shall not have been any decrease in the rating of any of Cemex’s or any of its Subsidiaries’ debt securities by Standard &amp; Poor’s and Fitch Ratings or any notice given of any intended or potential decrease in any such rating. For the avoidance of doubt, any reiteration or reissuance of the outlook of a rating agency that was in place at the Execution Time shall not be considered a notice of an intended or potential decrease in a rating.</w:t>
      </w:r>
    </w:p>
    <w:p>
      <w:pPr>
        <w:spacing w:after="0" w:line="72" w:lineRule="exact"/>
        <w:rPr>
          <w:sz w:val="20"/>
          <w:szCs w:val="20"/>
          <w:color w:val="auto"/>
        </w:rPr>
      </w:pPr>
    </w:p>
    <w:p>
      <w:pPr>
        <w:ind w:left="440" w:right="540" w:firstLine="529"/>
        <w:spacing w:after="0" w:line="282" w:lineRule="auto"/>
        <w:rPr>
          <w:sz w:val="20"/>
          <w:szCs w:val="20"/>
          <w:color w:val="auto"/>
        </w:rPr>
      </w:pPr>
      <w:r>
        <w:rPr>
          <w:rFonts w:ascii="Times New Roman" w:cs="Times New Roman" w:eastAsia="Times New Roman" w:hAnsi="Times New Roman"/>
          <w:sz w:val="18"/>
          <w:szCs w:val="18"/>
          <w:color w:val="auto"/>
        </w:rPr>
        <w:t>(k)  Prior to the Closing Date, Cemex and the Note Guarantor shall have furnished to the Representatives such further information, certificates, and documents as the Representatives may reasonably request.</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Cemex in writing or by telephone or facsimile confirmed in writing.</w:t>
      </w:r>
    </w:p>
    <w:p>
      <w:pPr>
        <w:spacing w:after="0" w:line="183"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The documents required to be delivered under this Section 6 will be delivered electronically or at the office of counsel for the Underwriters, at Cleary Gottlieb Steen &amp; Hamilton LLP, One Liberty Plaza, New York, New York 10006, Attention: Duane McLaughlin and Manuel Silva Esq., on the Closing Date.</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Cemex or the Note Guarantor to perform any agreement herein or comply with any provision hereof other than by reason of a default by any of the Underwriters, Cemex and the Note Guarantor, jointly and severally, agree to reimburse the Underwriters through the Representatives on demand for all expenses (including reasonable fees and disbursements of Underwriters’ counsel) that shall have been incurred by them in connection with the proposed purchase and sale of the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529"/>
        <w:spacing w:after="0" w:line="252" w:lineRule="auto"/>
        <w:rPr>
          <w:sz w:val="20"/>
          <w:szCs w:val="20"/>
          <w:color w:val="auto"/>
        </w:rPr>
      </w:pPr>
      <w:r>
        <w:rPr>
          <w:rFonts w:ascii="Times New Roman" w:cs="Times New Roman" w:eastAsia="Times New Roman" w:hAnsi="Times New Roman"/>
          <w:sz w:val="18"/>
          <w:szCs w:val="18"/>
          <w:color w:val="auto"/>
        </w:rPr>
        <w:t xml:space="preserve">(a)  Cemex and the Note Guarantor, jointly and severally, agree to indemnify and hold harmless each Underwriter, the directors, officers, employees, Affiliates and agents of each Underwriter and each person who controls any Underwriter within the meaning of either Section 15 of the Securities Act or Section 20 of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Disclosure Package, Registration Statement or the Final Prospectus, or any amendment or supplement thereto, or any other written information, including any non-deal and deal road show presentations (electronic or otherwise) used by or on behalf of Cemex in connection with the offer or sale of the Securities,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Cemex and the Note Guarantor will not be liable in any such case to the extent that any such loss, claim, damage or liability arises out of or is based upon any such untrue statement or alleged untrue statement or omission or alleged omission made in the Disclosure Package or the Final Prospectus, or in any amendment thereof or supplement thereto, in reliance upon and in conformity with the written information provided in Section 8(b) hereof furnished to Cemex by or on behalf of any Underwriter through the Representatives specifically for inclusion therein. This indemnity agreement will be in addition to any liability that Cemex or the Note Guarantor may otherwise have.</w:t>
      </w:r>
    </w:p>
    <w:p>
      <w:pPr>
        <w:spacing w:after="0" w:line="85" w:lineRule="exact"/>
        <w:rPr>
          <w:sz w:val="20"/>
          <w:szCs w:val="20"/>
          <w:color w:val="auto"/>
        </w:rPr>
      </w:pPr>
    </w:p>
    <w:p>
      <w:pPr>
        <w:ind w:right="20" w:firstLine="529"/>
        <w:spacing w:after="0" w:line="253" w:lineRule="auto"/>
        <w:rPr>
          <w:sz w:val="20"/>
          <w:szCs w:val="20"/>
          <w:color w:val="auto"/>
        </w:rPr>
      </w:pPr>
      <w:r>
        <w:rPr>
          <w:rFonts w:ascii="Times New Roman" w:cs="Times New Roman" w:eastAsia="Times New Roman" w:hAnsi="Times New Roman"/>
          <w:sz w:val="18"/>
          <w:szCs w:val="18"/>
          <w:color w:val="auto"/>
        </w:rPr>
        <w:t>(b)  Each Underwriter severally and not jointly agrees to indemnify and hold harmless Cemex, each of its directors, each of its officers, and each person who controls Cemex within the meaning of either Section 15 of the Securities Act or Section 20 of the Exchange Act, to the same extent as the foregoing indemnity from Cemex to each Underwriter, but only with reference to written information relating to such Underwriter furnished to Cemex by or on behalf of such Underwriter through the Representatives specifically for inclusion in the Disclosure Package or the Final Prospectus, or in any amendment or supplement thereto). This indemnity agreement will be in addition to any liability which any Underwriter may otherwise have. Cemex acknowledges that the statements set forth in (i) the last paragraph of the cover page regarding delivery of the Securities and (ii) the first sentence of the fourth paragraph under the section “Underwriting,” (b) the second sentence of the sixth paragraph under the section “Underwriting ”and (c) the eighth paragraph under the section “Underwriting,” in each case, in the Preliminary Prospectus and Final Prospectus, constitute the only information furnished in writing by or on behalf of the several Underwriters, expressly for inclusion in the Disclosure Package, the Final Prospectus or in any amendment or supplement thereto.</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27" w:name="page28"/>
    <w:bookmarkEnd w:id="27"/>
    <w:p>
      <w:pPr>
        <w:ind w:left="4" w:firstLine="529"/>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counsel shall be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w:t>
      </w:r>
    </w:p>
    <w:p>
      <w:pPr>
        <w:spacing w:after="0" w:line="10" w:lineRule="exact"/>
        <w:rPr>
          <w:sz w:val="20"/>
          <w:szCs w:val="20"/>
          <w:color w:val="auto"/>
        </w:rPr>
      </w:pPr>
    </w:p>
    <w:p>
      <w:pPr>
        <w:ind w:left="4" w:right="40" w:hanging="4"/>
        <w:spacing w:after="0" w:line="251"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potential defendants in, or targets of, any such action include both the indemnified party and the indemnifying party and the indemnified party shall have reasonably concluded that there may be legal defenses available to it that are different from or additional to those available to the indemnifying party and/or other indemnified parties,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If none of the conditions in clauses (i) through (iv) in the preceding sentence are satisfied as to any indemnified party, it is understood that the indemnifying party shall, in connection with any one such action, be liable for the reasonable fees and expenses of only one separate firm of attorneys in each jurisdiction (and in addition to any local counsel) at any time (other than reasonable overlapping of engagements) for all such indemnified parties.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4"/>
          </w:cols>
          <w:pgMar w:left="876" w:top="270" w:right="479" w:bottom="1440" w:gutter="0" w:footer="0" w:header="0"/>
        </w:sectPr>
      </w:pPr>
    </w:p>
    <w:bookmarkStart w:id="28" w:name="page29"/>
    <w:bookmarkEnd w:id="28"/>
    <w:p>
      <w:pPr>
        <w:ind w:firstLine="529"/>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In the event that the indemnity provided in paragraph (a) or (b) of this Section 8 is unavailable to or insufficient to hold harmless an indemnified party for any reason, Cemex and the Note Guarantor, jointly and severally, and the Underwriters, severally, agree to contribute to the aggregate losses, claims, damages and liabilities (including legal or other expenses reasonably incurred in connection with investigating or defending any loss, claim, damage, liability or action)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Cemex, the Note Guarantor and one or more of the Underwriters may be subject in such proportion as is appropriate to reflect the relative benefits received by Cemex and the Note Guarantor on the one hand and by the Underwriters on the other from the offering of the Securities. If the allocation provided by the immediately preceding sentence is unavailable for any reason, Cemex and the Note Guarantor, jointly and severally, and the Underwriters, severally, shall contribute in such proportion as is appropriate to reflect not only such relative benefits but also the relative fault of Cemex and the Note Guarantor on the one hand and of the Underwriters on the other in connection with the statements or omissions which resulted in such Losses as well as any other relevant equitable considerations. Benefits received by Cemex and the Note Guarantor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Cemex or the Note Guarantor, on the one hand, or the Underwriters, on the other, the intent of the parties and their relative knowledge, access to information and opportunity to correct or prevent such untrue statement or omission. Cemex, the Note Guarantor and the Underwriters agree that it would not be just and equitable if contribution were determined by pro rata allocation or any other method of allocation, which does not take account of the equitable considerations referred to above. The Underwriters’ obligations to contribute pursuant to this paragraph (d) are several and not joint, and shall be in proportion to their respective commitments as set forth opposite to their names in Schedule I hereto. Notwithstanding the provisions of this paragraph (d), (i) in no case under this paragraph (d) shall any Underwriter be responsible for any amount in excess of the purchase discount or commission applicable to the Securities purchased by such Underwriter hereunder; and (ii)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Cemex or the Note Guarantor within the meaning of either the Securities Act or the Exchange Act, each officer and each director of Cemex shall have the same rights to contribution as Cemex, subject in each case to the applicable terms and conditions of this paragraph (d).</w:t>
      </w:r>
    </w:p>
    <w:p>
      <w:pPr>
        <w:spacing w:after="0" w:line="13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40"/>
          </w:cols>
          <w:pgMar w:left="880" w:top="270" w:right="479" w:bottom="1440" w:gutter="0" w:footer="0" w:header="0"/>
        </w:sectPr>
      </w:pPr>
    </w:p>
    <w:bookmarkStart w:id="29" w:name="page30"/>
    <w:bookmarkEnd w:id="29"/>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9.  </w:t>
      </w: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Securities set forth opposite their names in Schedule I hereto bears to the aggregate principal amount of Securities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aggregate principal amount of Securities which the defaulting Underwriter or Underwriters agreed but failed to purchase shall exceed 10% of the aggregate principal amount of Securities set forth in Schedule 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Cemex. In the event of a default by any Underwriter as set forth in this Section 9, the Closing Date shall be postponed for such period, not exceeding five Business Days, as the Representatives and Cemex shall determine in order that the required changes in the Registration Statement and the Final Prospectus or in any other documents or arrangements may be effected. Nothing contained in this Agreement shall relieve any defaulting Underwriter of its liability, if any, to Cemex and any non-defaulting Underwriter for damages occasioned by its default hereunder.</w:t>
      </w:r>
    </w:p>
    <w:p>
      <w:pPr>
        <w:spacing w:after="0" w:line="18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Cemex prior to the time of delivery of and payment for the Securities, if at any time prior to such time (i) trading in securities generally on the Mexican Stock Exchange (</w:t>
      </w:r>
      <w:r>
        <w:rPr>
          <w:rFonts w:ascii="Times New Roman" w:cs="Times New Roman" w:eastAsia="Times New Roman" w:hAnsi="Times New Roman"/>
          <w:sz w:val="18"/>
          <w:szCs w:val="18"/>
          <w:i w:val="1"/>
          <w:iCs w:val="1"/>
          <w:color w:val="auto"/>
        </w:rPr>
        <w:t>Bolsa Mexicana de Valores, S.A.B. de C.V.</w:t>
      </w:r>
      <w:r>
        <w:rPr>
          <w:rFonts w:ascii="Times New Roman" w:cs="Times New Roman" w:eastAsia="Times New Roman" w:hAnsi="Times New Roman"/>
          <w:sz w:val="18"/>
          <w:szCs w:val="18"/>
          <w:color w:val="auto"/>
        </w:rPr>
        <w:t>) or the NYSE shall have been suspended or limited or minimum prices shall have been established on either such exchange, (ii) a banking moratorium shall have been declared either by Mexican, U.S. federal or New York State authorities, or (iiii) there shall have occurred any outbreak or escalation of hostilities, declaration by Mexico or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in the Disclosure Package and the Final Prospectus (exclusive of any amendment or supplement thereto after the Execution Time).</w:t>
      </w:r>
    </w:p>
    <w:p>
      <w:pPr>
        <w:spacing w:after="0" w:line="19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rights of contribution and other statements of Cemex and the Note Guarantor or its officers and of the Underwriters set forth in or made pursuant to this Agreement will remain in full force and effect, regardless of any investigation made by or on behalf of any Underwriter, Cemex, the Note Guarantor or any of the indemnified persons referred to in Section 8 hereof, and will survive delivery of and payment for the Securities. The provisions of Sections 7, 8, 12, 13, 15, 17, 18 and 27 hereof shall survive the termination or cancellation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tbl>
      <w:tblPr>
        <w:tblLayout w:type="fixed"/>
        <w:tblInd w:w="960" w:type="dxa"/>
        <w:tblCellMar>
          <w:top w:w="0" w:type="dxa"/>
          <w:left w:w="0" w:type="dxa"/>
          <w:bottom w:w="0" w:type="dxa"/>
          <w:right w:w="0" w:type="dxa"/>
        </w:tblCellMar>
      </w:tblPr>
      <w:tr>
        <w:trPr>
          <w:trHeight w:val="207"/>
        </w:trPr>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3"/>
              </w:rPr>
              <w:t>12. </w:t>
            </w:r>
          </w:p>
        </w:tc>
        <w:tc>
          <w:tcPr>
            <w:tcW w:w="80" w:type="dxa"/>
            <w:vAlign w:val="bottom"/>
          </w:tcPr>
          <w:p>
            <w:pPr>
              <w:spacing w:after="0"/>
              <w:rPr>
                <w:sz w:val="17"/>
                <w:szCs w:val="17"/>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Recognition of the U.S. Special Resolution Regimes.</w:t>
            </w: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344"/>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(a)  </w:t>
            </w:r>
          </w:p>
        </w:tc>
        <w:tc>
          <w:tcPr>
            <w:tcW w:w="9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In the event that any Underwriter that is a Covered Entity becomes subject to a proceeding under a U.S. Special Resolution Regime,</w:t>
            </w:r>
          </w:p>
        </w:tc>
      </w:tr>
    </w:tbl>
    <w:p>
      <w:pPr>
        <w:ind w:left="44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sz w:val="20"/>
          <w:szCs w:val="20"/>
          <w:color w:val="auto"/>
        </w:rPr>
      </w:pPr>
    </w:p>
    <w:p>
      <w:pPr>
        <w:ind w:left="440" w:right="240" w:firstLine="529"/>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As used in this Section 12,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shall be in writing and will be effective only upon receipt, and shall be mailed, hand delivered, couriered, or facsimiled and confirmed to the parties as follows: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sent to Representatives,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114 W47th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NY8-114-07-01 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New York, NY 10036 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(646) 855-5958</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High Grade Transaction Management/Legal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dg.hg_ua_notices@bofa.com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Number: (646) 291-1469</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440" w:top="257"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 Credit Agricole Securities (USA) Inc.</w:t>
      </w:r>
    </w:p>
    <w:p>
      <w:pPr>
        <w:spacing w:after="0" w:line="196" w:lineRule="auto"/>
        <w:rPr>
          <w:sz w:val="20"/>
          <w:szCs w:val="20"/>
          <w:color w:val="auto"/>
        </w:rPr>
      </w:pPr>
      <w:r>
        <w:rPr>
          <w:rFonts w:ascii="Times New Roman" w:cs="Times New Roman" w:eastAsia="Times New Roman" w:hAnsi="Times New Roman"/>
          <w:sz w:val="18"/>
          <w:szCs w:val="18"/>
          <w:color w:val="auto"/>
        </w:rPr>
        <w:t>1301 Avenue of the Americas,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Debt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DCMNewYork@ca-cib.com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Latin America - Debt Capital Markets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Mizuho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Latin America Debt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BA_DCM_NOTICES@MIZUHOGROUP.COM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SMBC Nikko Securities America,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Latin America Debt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NikkoGCNotices@smbcnikko-si.com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+1 212-225-3999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Duane McLaughlin and Manuel Silva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sent to Cemex,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Cemex, S.A.B.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Avenida Ricardo Margáin Zozaya #325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Colonia Valle del Campestre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Pedro Garza García, Nuevo León 66265, 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+5281-8888-4054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guillermof.hernandez@cemex.com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Gregory Fernicola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gregory.fernicola@skadden.com</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039"/>
          </w:cols>
          <w:pgMar w:left="1420" w:top="270" w:right="1440" w:bottom="1440" w:gutter="0" w:footer="0" w:header="0"/>
        </w:sectPr>
      </w:pPr>
    </w:p>
    <w:bookmarkStart w:id="32" w:name="page33"/>
    <w:bookmarkEnd w:id="32"/>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indemnified persons referred to in Section 8 hereof and their respective successors, and, except as expressly set forth in Section 5(m) hereof, no other person will have any right or obligation hereunder.</w:t>
      </w:r>
    </w:p>
    <w:p>
      <w:pPr>
        <w:spacing w:after="0" w:line="176"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Jurisdiction</w:t>
      </w:r>
      <w:r>
        <w:rPr>
          <w:rFonts w:ascii="Times New Roman" w:cs="Times New Roman" w:eastAsia="Times New Roman" w:hAnsi="Times New Roman"/>
          <w:sz w:val="17"/>
          <w:szCs w:val="17"/>
          <w:color w:val="auto"/>
        </w:rPr>
        <w:t>. Each of the parties hereto hereby agrees that any suit, action or proceeding arising out of or based upon this Agreement or the transactions contemplated hereby shall be instituted in any State or U.S. federal court in The City of New York and County of New York or in the courts of its own domicile in respect of actions brought against such party as a defendant, and waives any objection which it may now or hereafter have to the laying of venue of any such proceeding, and irrevocably submits to the exclusive jurisdiction of such courts in any suit, action or proceeding and waives the right to any other jurisdiction that it may be entitled to by reason of law, of its present or future domicile or any other reason. Cemex hereby appoints Cemex NY Corporation, with domicile at 590 Madison Avenue, 27th Floor, New York, New York 10022, as its authorized agent (the “</w:t>
      </w:r>
      <w:r>
        <w:rPr>
          <w:rFonts w:ascii="Times New Roman" w:cs="Times New Roman" w:eastAsia="Times New Roman" w:hAnsi="Times New Roman"/>
          <w:sz w:val="17"/>
          <w:szCs w:val="17"/>
          <w:u w:val="single" w:color="auto"/>
          <w:color w:val="auto"/>
        </w:rPr>
        <w:t>Authorized Agent</w:t>
      </w:r>
      <w:r>
        <w:rPr>
          <w:rFonts w:ascii="Times New Roman" w:cs="Times New Roman" w:eastAsia="Times New Roman" w:hAnsi="Times New Roman"/>
          <w:sz w:val="17"/>
          <w:szCs w:val="17"/>
          <w:color w:val="auto"/>
        </w:rPr>
        <w:t>”), upon whom process may be served in any suit, action or proceeding arising out of or based upon this Agreement or the transactions contemplated herein that may be instituted in any State or U.S. federal court in The City of New York and County of New York. Cemex</w:t>
      </w:r>
    </w:p>
    <w:p>
      <w:pPr>
        <w:ind w:left="4" w:hanging="4"/>
        <w:spacing w:after="0" w:line="253"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that the Authorized Agent has accepted such appointment as provided herein and has agreed to act as said agent for service of process, (ii) agrees to take any and all action, including the execution and filing of any and all documents, that may be necessary to continue such appointment in full force and effect as aforesaid and (iii) represents and warrants that it has granted an irrevocable power of attorney for lawsuits and collections (</w:t>
      </w:r>
      <w:r>
        <w:rPr>
          <w:rFonts w:ascii="Times New Roman" w:cs="Times New Roman" w:eastAsia="Times New Roman" w:hAnsi="Times New Roman"/>
          <w:sz w:val="18"/>
          <w:szCs w:val="18"/>
          <w:i w:val="1"/>
          <w:iCs w:val="1"/>
          <w:color w:val="auto"/>
        </w:rPr>
        <w:t>poder irrevocable para pleitos y cobranzas</w:t>
      </w:r>
      <w:r>
        <w:rPr>
          <w:rFonts w:ascii="Times New Roman" w:cs="Times New Roman" w:eastAsia="Times New Roman" w:hAnsi="Times New Roman"/>
          <w:sz w:val="18"/>
          <w:szCs w:val="18"/>
          <w:color w:val="auto"/>
        </w:rPr>
        <w:t>) in favor of the Authorized Agent before a Mexican notary public. Service of process upon the Authorized Agent shall be deemed, in every respect, effective service of process upon Cemex.</w:t>
      </w:r>
    </w:p>
    <w:p>
      <w:pPr>
        <w:spacing w:after="0" w:line="187"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Cemex, the Note Guarantor and the Underwriters, or any of them, with respect to the subject matter hereof.</w:t>
      </w:r>
    </w:p>
    <w:p>
      <w:pPr>
        <w:spacing w:after="0" w:line="162" w:lineRule="exact"/>
        <w:rPr>
          <w:sz w:val="20"/>
          <w:szCs w:val="20"/>
          <w:color w:val="auto"/>
        </w:rPr>
      </w:pPr>
    </w:p>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any claim, controversy or dispute relating to or arising out of this Agreement, will be governed by and construed in accordance with the laws of the State of New York applicable to contracts made and to be performed within the State of New York.</w:t>
      </w:r>
    </w:p>
    <w:p>
      <w:pPr>
        <w:spacing w:after="0" w:line="172" w:lineRule="exact"/>
        <w:rPr>
          <w:sz w:val="20"/>
          <w:szCs w:val="20"/>
          <w:color w:val="auto"/>
        </w:rPr>
      </w:pPr>
    </w:p>
    <w:p>
      <w:pPr>
        <w:ind w:left="4" w:right="140" w:firstLine="991"/>
        <w:spacing w:after="0" w:line="317" w:lineRule="auto"/>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 Each of the parties hereto hereby irrevocably waives, to the fullest extent permitted by applicable law,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any and all right to trial by jury in any legal proceeding arising out of or relating to this Agreement or the transactions contemplated hereby.</w:t>
      </w:r>
    </w:p>
    <w:p>
      <w:pPr>
        <w:spacing w:after="0" w:line="136"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Cemex hereby acknowledges that (a) the purchase and sale of the Securities pursuant to this Agreement is an arm’s-length commercial transaction between Cemex on the one hand and the Underwriters and any Affiliates through which they may be acting on the other, (b) the Underwriters are acting as principal and not as an agent or fiduciary of Cemex and (c) Cemex’s engagement of the Underwriters in connection with the offering and the process leading up to the offering is as independent contractors and not in any other capacity. Furthermore, Cemex agrees that it is solely responsible for making its own judgments in connection with the offering (irrespective of whether any of the Underwriters has advised or is currently advising Cemex on related or other matters). Cemex agrees that it will not claim that the Underwriters have rendered advisory services of any nature or respect, or owe an agency, fiduciary, or similar duty to Cemex in connection with such transaction or the process leading thereto.</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3" w:name="page34"/>
    <w:bookmarkEnd w:id="33"/>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20. 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Each reference in this Agreement to U.S. dollars (the “relevant currency”), including by use of the symbol “$” is of the essence. To the fullest extent permitted by law, the obligation of the parties in respect of any amount due under this Agreement will, notwithstanding any payment in any other currency (whether pursuant to a judgment or otherwise), be discharged only to the extent of the amount in the relevant currency that the party entitled to receive such payment may, in accordance with its normal procedures, purchase with the sum paid in such other currency (after any premium and costs of exchange) on the Business Day immediately following the day on which such party receives such payment. If the amount in the relevant currency that may be so purchased for any reason falls short of the amount originally due, the obligated party, jointly and severally, will pay such additional amounts, in the relevant currency, as may be necessary to compensate for the shortfall. Any obligation of the obligated party not discharged by such payment will, to the fullest extent permitted by applicable law, be due as a separate and independent obligation and, until discharged as provided herein, will continue in full force and effect.</w:t>
      </w:r>
    </w:p>
    <w:p>
      <w:pPr>
        <w:spacing w:after="0" w:line="188"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To the extent that Cemex or the Note Guarantor has or hereafter may acquire any immunity (sovereign or otherwise) from any legal action, suit or proceeding, from jurisdiction of any court or from any legal process (whether service or notice, attachment in aid or otherwise) with respect to itself or any of its property, Cemex and the Note Guarantor hereby irrevocably waives and agrees not to plead or claim such immunity in respect of its obligations under this Agreement.</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Waiver of Tax Confidentiality</w:t>
      </w:r>
      <w:r>
        <w:rPr>
          <w:rFonts w:ascii="Times New Roman" w:cs="Times New Roman" w:eastAsia="Times New Roman" w:hAnsi="Times New Roman"/>
          <w:sz w:val="18"/>
          <w:szCs w:val="18"/>
          <w:color w:val="auto"/>
        </w:rPr>
        <w:t>. Notwithstanding anything herein to the contrary, purchasers of the Securities (and each employee, representative or other agent of a purchaser) may disclose to any and all persons, without limitation of any kind, the U.S. tax treatment and U.S. tax structure of any transaction contemplated herein and all materials of any kind (including opinions or other tax analyses) that are provided to the purchasers of the Securities relating to such U.S. tax treatment and U.S. tax structure, other than any information for which nondisclosure is reasonably necessary in order to comply with applicable securities laws.</w:t>
      </w:r>
    </w:p>
    <w:p>
      <w:pPr>
        <w:spacing w:after="0" w:line="183"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payment of fees or any other amounts due to the Underwriters under this Agreement (including, without limitation, indemnification, and contribution payments) shall, except as required by applicable law, be made without withholding or deduction for or on account of any taxes imposed by any jurisdiction. If any taxes are required to be withheld or deducted from any such payment, Cemex and the Note Guarantor, jointly and severally, shall pay such additional amounts as may be necessary to ensure that the net amount actually received by the Underwriters, after such withholding or deduction is equal to the amount that the Underwriters would have received had no such withholding or deduction been required. Cemex and/or the Note Guarantor shall pay any such applicable taxes and, at the reasonable request of the Underwriters, shall provide evidence of payment of taxes when due (which may be copies of any tax returns filed).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4" w:name="page35"/>
    <w:bookmarkEnd w:id="34"/>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w:t>
      </w:r>
    </w:p>
    <w:p>
      <w:pPr>
        <w:spacing w:after="0" w:line="162"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ESIGN</w:t>
      </w:r>
      <w:r>
        <w:rPr>
          <w:rFonts w:ascii="Times New Roman" w:cs="Times New Roman" w:eastAsia="Times New Roman" w:hAnsi="Times New Roman"/>
          <w:sz w:val="18"/>
          <w:szCs w:val="18"/>
          <w:color w:val="auto"/>
        </w:rPr>
        <w: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sz w:val="20"/>
          <w:szCs w:val="20"/>
          <w:color w:val="auto"/>
        </w:rPr>
      </w:pPr>
    </w:p>
    <w:p>
      <w:pPr>
        <w:jc w:val="both"/>
        <w:ind w:left="4" w:right="4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Cemex,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“Affiliate” shall have the meaning specified in Rule 501(b) of Regulation D.</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“Business Day” shall mean any day other than a Saturday, a Sunday or a legal holiday or a day on which banking institutions or trust companies are authorized or obligated by law to close in The City of New York or Mexico City.</w:t>
      </w:r>
    </w:p>
    <w:p>
      <w:pPr>
        <w:spacing w:after="0" w:line="162"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“Credit Agreements” shall mean (i) the credit agreement, dated as of October 29, 2021, by and among Cemex, as borrower, BNP PARIBAS, BofA Securities, Inc., Citigroup Global Markets Inc. and JPMorgan Chase Bank, N.A., as joint book runners and joint lead arrangers, the financial institutions party thereto as other lenders, Citibank, N.A., as administrative agent, and ING Capital LLC, as sustainability structuring agent, as amended by that certain first amendment, dated June 5, 2023, and as further amended by that certain second amendment, dated October 30, 2023;</w:t>
      </w:r>
    </w:p>
    <w:p>
      <w:pPr>
        <w:spacing w:after="0" w:line="3" w:lineRule="exact"/>
        <w:rPr>
          <w:sz w:val="20"/>
          <w:szCs w:val="20"/>
          <w:color w:val="auto"/>
        </w:rPr>
      </w:pPr>
    </w:p>
    <w:p>
      <w:pPr>
        <w:ind w:left="4" w:hanging="4"/>
        <w:spacing w:after="0" w:line="252"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dated as of October 7, 2022, by and among Cemex, as borrower, BBVA México, S.A., Institución de Banca Múltiple, Grupo Financiero BBVA México (“BBVA Mexico”), as administrative agent and sustainability structuring agent, BBVA Mexico, BNP PARIBAS, Citigroup Global Markets Inc. and Mizuho Bank Ltd., New York Branch, as joint book runners and joint lead arrangers, the financial institutions party thereto as other lenders, as amended by that first amendment, dated April 11, 2024 and (iii) the credit agreement, dated as of May 28, 2026, by and among Cemex, as borrower, Citibank, N.A., as administrative agent, ING Capital LLC, as sustainability structuring agent, BNP Paribas Securities Corp, as global coordinator, joint lead arranger and joint bookrunner, the other financial institutions party thereto as joint book runners and joint lead arrangers, and the financial institutions party thereto as lenders.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35" w:name="page36"/>
    <w:bookmarkEnd w:id="3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“IFRS” shall mean IFRS Accounting Standards as issued by the International Accounting Standards Board.</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“Investment Company Act” shall mean the U.S. Investment Company Act of 1940, as amended, and the rules and regulations of the Commission promulgated thereunder.</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“Solvent” shall mean, with respect to any person on any date of determination, that on such date, the value of the property of such person is greater than the total amount of liabilities, including contingent liabilities,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“Subsidiary” shall have the meaning set forth in Rule 405 under the Securities Act.</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60"/>
          </w:cols>
          <w:pgMar w:left="440" w:top="270" w:right="599" w:bottom="1440" w:gutter="0" w:footer="0" w:header="0"/>
        </w:sectPr>
      </w:pPr>
    </w:p>
    <w:bookmarkStart w:id="36" w:name="page37"/>
    <w:bookmarkEnd w:id="36"/>
    <w:p>
      <w:pPr>
        <w:ind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Cemex, the Note Guarantor and the several Underwriters.</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Cemex, S.A.B. de C.V.</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Fernando José Reiter Landa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Fernando José Reiter Landa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Cemex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Fernando José Reiter Landa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Fernando José Reiter Landa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1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640"/>
          </w:cols>
          <w:pgMar w:left="440" w:top="270" w:right="8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Agreement is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Schedule I hereto.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Jorge Ortiz de la Peña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Jorge Ortiz de la Peña Muller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w:t>
      </w:r>
    </w:p>
    <w:p>
      <w:pPr>
        <w:spacing w:after="0" w:line="13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w:t>
      </w:r>
      <w:r>
        <w:rPr>
          <w:rFonts w:ascii="Times New Roman" w:cs="Times New Roman" w:eastAsia="Times New Roman" w:hAnsi="Times New Roman"/>
          <w:sz w:val="18"/>
          <w:szCs w:val="18"/>
          <w:b w:val="1"/>
          <w:bCs w:val="1"/>
          <w:color w:val="auto"/>
        </w:rPr>
        <w:t>Citigroup Global Markets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Adam D. Bordner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w:t>
      </w:r>
    </w:p>
    <w:p>
      <w:pPr>
        <w:spacing w:after="0" w:line="13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6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w:t>
      </w:r>
      <w:r>
        <w:rPr>
          <w:rFonts w:ascii="Times New Roman" w:cs="Times New Roman" w:eastAsia="Times New Roman" w:hAnsi="Times New Roman"/>
          <w:sz w:val="18"/>
          <w:szCs w:val="18"/>
          <w:b w:val="1"/>
          <w:bCs w:val="1"/>
          <w:color w:val="auto"/>
        </w:rPr>
        <w:t>Credit Agricole Securities (USA)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Rodrigo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Rodrigo Gonzalez</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David Travis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w:t>
      </w:r>
    </w:p>
    <w:p>
      <w:pPr>
        <w:spacing w:after="0" w:line="13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6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w:t>
      </w:r>
      <w:r>
        <w:rPr>
          <w:rFonts w:ascii="Times New Roman" w:cs="Times New Roman" w:eastAsia="Times New Roman" w:hAnsi="Times New Roman"/>
          <w:sz w:val="18"/>
          <w:szCs w:val="18"/>
          <w:b w:val="1"/>
          <w:bCs w:val="1"/>
          <w:color w:val="auto"/>
        </w:rPr>
        <w:t>J.P. Morgan Securities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Feler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Feler Lane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w:t>
      </w:r>
    </w:p>
    <w:p>
      <w:pPr>
        <w:spacing w:after="0" w:line="13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6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w:t>
      </w:r>
      <w:r>
        <w:rPr>
          <w:rFonts w:ascii="Times New Roman" w:cs="Times New Roman" w:eastAsia="Times New Roman" w:hAnsi="Times New Roman"/>
          <w:sz w:val="18"/>
          <w:szCs w:val="18"/>
          <w:b w:val="1"/>
          <w:bCs w:val="1"/>
          <w:color w:val="auto"/>
        </w:rPr>
        <w:t>Mizuho Securities USA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Rodrigo Garcia de Leon Ferrer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Rodrigo Garcia de Leon Ferrer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w:t>
      </w:r>
    </w:p>
    <w:p>
      <w:pPr>
        <w:spacing w:after="0" w:line="13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6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w:t>
      </w:r>
      <w:r>
        <w:rPr>
          <w:rFonts w:ascii="Times New Roman" w:cs="Times New Roman" w:eastAsia="Times New Roman" w:hAnsi="Times New Roman"/>
          <w:sz w:val="18"/>
          <w:szCs w:val="18"/>
          <w:b w:val="1"/>
          <w:bCs w:val="1"/>
          <w:color w:val="auto"/>
        </w:rPr>
        <w:t>SMBC Nikko Securities America,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Andrew Giaimo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Giaimo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w:t>
      </w:r>
    </w:p>
    <w:p>
      <w:pPr>
        <w:spacing w:after="0" w:line="13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66"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000" w:type="dxa"/>
            <w:vAlign w:val="bottom"/>
            <w:gridSpan w:val="2"/>
          </w:tcPr>
          <w:p>
            <w:pPr>
              <w:jc w:val="center"/>
              <w:ind w:right="2616"/>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020" w:type="dxa"/>
            <w:vAlign w:val="bottom"/>
            <w:vMerge w:val="restart"/>
          </w:tcPr>
          <w:p>
            <w:pPr>
              <w:spacing w:after="0"/>
              <w:rPr>
                <w:sz w:val="24"/>
                <w:szCs w:val="24"/>
                <w:color w:val="auto"/>
              </w:rPr>
            </w:pPr>
          </w:p>
        </w:tc>
        <w:tc>
          <w:tcPr>
            <w:tcW w:w="584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5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107,143,000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600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6000" w:type="dxa"/>
            <w:vAlign w:val="bottom"/>
            <w:gridSpan w:val="2"/>
            <w:shd w:val="clear" w:color="auto" w:fill="CCEEFF"/>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00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000" w:type="dxa"/>
            <w:vAlign w:val="bottom"/>
            <w:gridSpan w:val="2"/>
            <w:shd w:val="clear" w:color="auto" w:fill="CCEEFF"/>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600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6000" w:type="dxa"/>
            <w:vAlign w:val="bottom"/>
            <w:gridSpan w:val="2"/>
            <w:shd w:val="clear" w:color="auto" w:fill="CCEEFF"/>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600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6000" w:type="dxa"/>
            <w:vAlign w:val="bottom"/>
            <w:gridSpan w:val="2"/>
            <w:shd w:val="clear" w:color="auto" w:fill="CCEEFF"/>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600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6000" w:type="dxa"/>
            <w:vAlign w:val="bottom"/>
            <w:gridSpan w:val="2"/>
            <w:shd w:val="clear" w:color="auto" w:fill="CCEEFF"/>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Intesa Sanpaolo IMI Securities Corp.</w:t>
            </w:r>
          </w:p>
        </w:tc>
        <w:tc>
          <w:tcPr>
            <w:tcW w:w="600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107,143,000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000" w:type="dxa"/>
            <w:vAlign w:val="bottom"/>
            <w:gridSpan w:val="2"/>
            <w:shd w:val="clear" w:color="auto" w:fill="CCEEFF"/>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107,142,000</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58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0" w:type="dxa"/>
            <w:vAlign w:val="bottom"/>
            <w:gridSpan w:val="2"/>
            <w:shd w:val="clear" w:color="auto" w:fill="CCEEFF"/>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40" w:type="dxa"/>
            <w:vAlign w:val="bottom"/>
            <w:vMerge w:val="restart"/>
          </w:tcPr>
          <w:p>
            <w:pPr>
              <w:jc w:val="right"/>
              <w:ind w:right="407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4" w:name="page45"/>
    <w:bookmarkEnd w:id="44"/>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9"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18"/>
          <w:szCs w:val="18"/>
          <w:color w:val="auto"/>
        </w:rPr>
        <w:t>Schedule of Free Writing Prospectuses included in the Disclosure Package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9579"/>
          </w:cols>
          <w:pgMar w:left="880" w:top="266"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ectPr>
          <w:pgSz w:w="11900" w:h="16838" w:orient="portrait"/>
          <w:cols w:equalWidth="0" w:num="1">
            <w:col w:w="9019"/>
          </w:cols>
          <w:pgMar w:left="1440" w:top="266" w:right="1440"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9019"/>
          </w:cols>
          <w:pgMar w:left="1440" w:top="266"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Dated as of June 2, 2026</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EMEX</w:t>
      </w:r>
      <w:r>
        <w:rPr>
          <w:rFonts w:ascii="Times New Roman" w:cs="Times New Roman" w:eastAsia="Times New Roman" w:hAnsi="Times New Roman"/>
          <w:sz w:val="18"/>
          <w:szCs w:val="18"/>
          <w:b w:val="1"/>
          <w:bCs w:val="1"/>
          <w:color w:val="auto"/>
        </w:rPr>
        <w:t xml:space="preserve">, S.A.B. </w:t>
      </w:r>
      <w:r>
        <w:rPr>
          <w:rFonts w:ascii="Times New Roman" w:cs="Times New Roman" w:eastAsia="Times New Roman" w:hAnsi="Times New Roman"/>
          <w:sz w:val="14"/>
          <w:szCs w:val="14"/>
          <w:b w:val="1"/>
          <w:bCs w:val="1"/>
          <w:color w:val="auto"/>
        </w:rPr>
        <w:t>DE</w:t>
      </w:r>
      <w:r>
        <w:rPr>
          <w:rFonts w:ascii="Times New Roman" w:cs="Times New Roman" w:eastAsia="Times New Roman" w:hAnsi="Times New Roman"/>
          <w:sz w:val="18"/>
          <w:szCs w:val="18"/>
          <w:b w:val="1"/>
          <w:bCs w:val="1"/>
          <w:color w:val="auto"/>
        </w:rPr>
        <w:t xml:space="preserve"> C.V.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5.750% Senior Notes due 2036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i w:val="1"/>
          <w:iCs w:val="1"/>
          <w:color w:val="auto"/>
        </w:rPr>
        <w:t>Guaranteed by</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Cemex Corp.</w:t>
      </w:r>
    </w:p>
    <w:p>
      <w:pPr>
        <w:spacing w:after="0" w:line="20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This pricing term sheet relates only to the Notes (as defined below) and should be read together with the preliminary prospectus supplement dated June 1, 2026 (including the documents incorporated by reference therein) relating to the offering of the Notes (the “</w:t>
      </w:r>
      <w:r>
        <w:rPr>
          <w:rFonts w:ascii="Times New Roman" w:cs="Times New Roman" w:eastAsia="Times New Roman" w:hAnsi="Times New Roman"/>
          <w:sz w:val="18"/>
          <w:szCs w:val="18"/>
          <w:i w:val="1"/>
          <w:iCs w:val="1"/>
          <w:u w:val="single" w:color="auto"/>
          <w:color w:val="auto"/>
        </w:rPr>
        <w:t>Preliminary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Supplement</w:t>
      </w:r>
      <w:r>
        <w:rPr>
          <w:rFonts w:ascii="Times New Roman" w:cs="Times New Roman" w:eastAsia="Times New Roman" w:hAnsi="Times New Roman"/>
          <w:sz w:val="18"/>
          <w:szCs w:val="18"/>
          <w:i w:val="1"/>
          <w:iCs w:val="1"/>
          <w:color w:val="auto"/>
        </w:rPr>
        <w:t>”) before making a decision in connection with an investment in the Notes. The information in this pricing term sheet supersedes the information in the Preliminary Prospectus Supplement relating to the Notes to the extent that it is inconsistent therewith. Terms used but not defined herein have the meanings ascribed to them in the Preliminary Prospectus Supplement. All references to dollar amounts are references to U.S. dollars.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Cemex, S.A.B. de C.V.</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Cemex Corp.</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Issuer Ratings*:</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Issue Ratings*:</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Offering Format:</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SEC-Registered</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Senior Unsecured</w:t>
            </w:r>
          </w:p>
        </w:tc>
      </w:tr>
      <w:tr>
        <w:trPr>
          <w:trHeight w:val="39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Security Title:</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5.750% Senior Notes due 2036 (the “Notes”)</w:t>
            </w:r>
          </w:p>
        </w:tc>
      </w:tr>
      <w:tr>
        <w:trPr>
          <w:trHeight w:val="45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Currency:</w:t>
            </w:r>
          </w:p>
        </w:tc>
        <w:tc>
          <w:tcPr>
            <w:tcW w:w="34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U.S. Dollars</w:t>
            </w:r>
          </w:p>
        </w:tc>
        <w:tc>
          <w:tcPr>
            <w:tcW w:w="42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U.S.$1,500,000,000</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34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5.750%</w:t>
            </w:r>
          </w:p>
        </w:tc>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June 5, 2036</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June 5 and December 5 of each year, commencing on December 5, 2026</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Day Count:</w:t>
            </w:r>
          </w:p>
        </w:tc>
        <w:tc>
          <w:tcPr>
            <w:tcW w:w="34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30/360</w:t>
            </w:r>
          </w:p>
        </w:tc>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Price to Investors:</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99.572% of principal amount, plus accrued interest, if any, from June 5, 2026</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UST 4.375% due May 15, 2036</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63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+135 bps</w:t>
            </w:r>
          </w:p>
        </w:tc>
      </w:tr>
      <w:tr>
        <w:trPr>
          <w:trHeight w:val="365"/>
        </w:trPr>
        <w:tc>
          <w:tcPr>
            <w:tcW w:w="3040" w:type="dxa"/>
            <w:vAlign w:val="bottom"/>
          </w:tcPr>
          <w:p>
            <w:pPr>
              <w:spacing w:after="0"/>
              <w:rPr>
                <w:sz w:val="24"/>
                <w:szCs w:val="24"/>
                <w:color w:val="auto"/>
              </w:rPr>
            </w:pPr>
          </w:p>
        </w:tc>
        <w:tc>
          <w:tcPr>
            <w:tcW w:w="632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III-2</w:t>
            </w:r>
          </w:p>
        </w:tc>
      </w:tr>
    </w:tbl>
    <w:p>
      <w:pPr>
        <w:sectPr>
          <w:pgSz w:w="11900" w:h="16838" w:orient="portrait"/>
          <w:cols w:equalWidth="0" w:num="1">
            <w:col w:w="10960"/>
          </w:cols>
          <w:pgMar w:left="440" w:top="270" w:right="499"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99-11, 4.457%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-206375</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5.807%</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March 5, 2036, make-whole call, in whole or in part, at T+25 bps</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6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On and after March 5, 2036, par call, in whole or in part</w:t>
      </w:r>
    </w:p>
    <w:p>
      <w:pPr>
        <w:sectPr>
          <w:pgSz w:w="11900" w:h="16838" w:orient="portrait"/>
          <w:cols w:equalWidth="0" w:num="1">
            <w:col w:w="10880"/>
          </w:cols>
          <w:pgMar w:left="440" w:top="270" w:right="579" w:bottom="1440" w:gutter="0" w:footer="0" w:header="0"/>
          <w:type w:val="continuous"/>
        </w:sect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Optional Tax Redemption: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7"/>
          <w:szCs w:val="17"/>
          <w:color w:val="auto"/>
        </w:rPr>
        <w:t>In whole but not in part, at par upon certain changes in withholding taxes</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2026</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5, 2026 (T+3)</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Denominations / Multiples: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U.S.$2,000 / U.S.$1,000</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Clearing: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DTC / Euroclear / Clearstream</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151290 CD3 / US151290CD37</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Governing Law:</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of New York</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Expected Listing: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Stock Exchange (application pending)</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Joint Bookrunners: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Agricole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00" w:lineRule="exact"/>
        <w:rPr>
          <w:sz w:val="20"/>
          <w:szCs w:val="20"/>
          <w:color w:val="auto"/>
        </w:rPr>
      </w:pPr>
    </w:p>
    <w:p>
      <w:pPr>
        <w:sectPr>
          <w:pgSz w:w="11900" w:h="16838" w:orient="portrait"/>
          <w:cols w:equalWidth="0" w:num="2">
            <w:col w:w="3140" w:space="720"/>
            <w:col w:w="7020"/>
          </w:cols>
          <w:pgMar w:left="440" w:top="270" w:right="5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the Preliminary Prospectus Supplement and the accompanying prospectus dated June 1, 2026) with the Securities and Exchange Commission (the “SEC”), for the offering of the Notes. Before you invest in the Notes, you should read the Preliminary Prospectus Supplement, the accompanying prospectus in that registration statement and the other documents the Issuer has filed with the SEC for more complete information about the Issuer and the offering of the Notes. You may get these documents for free by visiting EDGAR on the SEC web site at www.sec.gov. Alternatively, you can request the Preliminary Prospectus Supplement and the accompanying prospectus by contacting: BofA Securities, Inc. at +1 800 294 1322, Citigroup Global Markets Inc. at +1 800 831-9146, Credit Agricole Securities (USA) Inc. at +1 866 807 6030, J.P. Morgan Securities LLC at +1 212 834 4533, Mizuho Securities USA LLC at +1 866 271 7403 and SMBC Nikko Securities America, Inc. at +1 888 868 6856.</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III-3</w:t>
      </w:r>
    </w:p>
    <w:p>
      <w:pPr>
        <w:sectPr>
          <w:pgSz w:w="11900" w:h="16838" w:orient="portrait"/>
          <w:cols w:equalWidth="0" w:num="1">
            <w:col w:w="10880"/>
          </w:cols>
          <w:pgMar w:left="440" w:top="270" w:right="579" w:bottom="1440" w:gutter="0" w:footer="0" w:header="0"/>
          <w:type w:val="continuous"/>
        </w:sectPr>
      </w:pPr>
    </w:p>
    <w:bookmarkStart w:id="48" w:name="page49"/>
    <w:bookmarkEnd w:id="48"/>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HAVE NOT BEEN AND WILL NOT BE REGISTERED WITH THE MEXICAN NATIONAL SECURITIES REGISTRY (REGISTRO NACIONAL DE VALORES) MAINTAINED BY THE MEXICAN NATIONAL BANKING AND SECURITIES COMMISSION (COMISIÓN NACIONAL BANCARIA Y DE VALORES OR THE “CNBV”) AND THEREFORE MAY NOT BE OFFERED OR SOLD PUBLICLY IN MEXICO, EXCEPT THAT THE NOTES MAY BE OFFERED AND SOLD IN MEXICO TO INVESTORS THAT QUALIFY AS INSTITUTIONAL OR QUALIFIED INVESTORS SOLELY, PURSUANT TO THE PRIVATE PLACEMENT EXEMPTION SET FORTH IN ARTICLE 8 OF THE MEXICAN SECURITIES MARKET LAW (LEY DEL MERCADO DE VALORES).</w:t>
      </w:r>
    </w:p>
    <w:p>
      <w:pPr>
        <w:spacing w:after="0" w:line="1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THE TERMS AND CONDITIONS OF THIS OFFERING WILL BE NOTIFIED TO THE CNBV FOR INFORMATIONAL PURPOSES ONLY AND THE DELIVERY TO AND THE RECEIPT BY THE CNBV OF SUCH NOTICE DOES NOT CONSTITUTE OR IMPLY ANY CERTIFICATION AS TO THE INVESTMENT QUALITY OF THE NOTES OR OF OUR SOLVENCY, LIQUIDITY OR CREDIT QUALITY OR THE ACCURACY OR COMPLETENESS OF THE INFORMATION SET FORTH IN THE PROSPECTUS SUPPLEMENT. THE NOTES MAY NOT BE OFFERED, SOLD OR SUBJECT TO INTERMEDIATION ACTIVITIES IN MEXICO, ABSENT AN AVAILABLE EXEMPTION UNDER THE LEY DEL MERCADO DE VALORES (MEXICAN SECURITIES MARKET LAW). IN MAKING AN INVESTMENT DECISION, ALL INVESTORS, INCLUDING ANY MEXICAN CITIZEN WHO MAY ACQUIRE NOTES FROM TIME TO TIME, MUST RELY ON THEIR OWN EXAMINATION OF THE ISSUER AND ANY SUBSIDIARY GUARANTOR.</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Rule 15c6-1 of the U.S. Securities Exchange Act of 1934, as amended, trades in the secondary market generally are required to settle in one business day, unless the parties to such trade expressly agree otherwise. Accordingly, purchasers who wish to trade the Notes prior to the date that is one business day before the date of delivery of the Notes may be required, by virtue of the fact that the Notes initially will settle in three business days (T+3) to specify alternative settlement arrangements to prevent a failed settlement.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offer and sale of the securities to which this pricing term sheet relates have been registered by the Issuer with the SEC by means of a registration statement on Form F-3ASR (Registration No. 333-296381). This pricing term sheet shall not constitute an offer to sell or the solicitation of an offer to buy nor shall there be any sale of any securities in any state or jurisdiction in which such offer, solicitation or sale would be unlawful prior to registration or qualification under the securities laws of any such state or jurisdiction.</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Prohibition of Sales to EEA Retail Investors. </w:t>
      </w:r>
      <w:r>
        <w:rPr>
          <w:rFonts w:ascii="Times New Roman" w:cs="Times New Roman" w:eastAsia="Times New Roman" w:hAnsi="Times New Roman"/>
          <w:sz w:val="18"/>
          <w:szCs w:val="18"/>
          <w:color w:val="auto"/>
        </w:rPr>
        <w:t>In the European Economic Area, no key information document required by Regulation (EU)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Prohibition of Sales to UK Retail Investors. </w:t>
      </w:r>
      <w:r>
        <w:rPr>
          <w:rFonts w:ascii="Times New Roman" w:cs="Times New Roman" w:eastAsia="Times New Roman" w:hAnsi="Times New Roman"/>
          <w:sz w:val="18"/>
          <w:szCs w:val="18"/>
          <w:color w:val="auto"/>
        </w:rPr>
        <w:t>In the United Kingdom, no disclosure document required by the FCA Product Disclosure Sourcebook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Consumer Composite Investments (Designated Activities) Regulations 2024.</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United Kingdom, this pricing term sheet is for distribution only to, and is only directed at, persons who (i) are outside the UK, (ii) are investment professionals falling within Article 19(5) of the Financial Services and Markets Act 2000 (Financial Promotion) Order 2005 (as amended, the “Order”) or (iii) are high net worth entities or other persons falling within Article 49(2)(a) to (e) of the Order (all such persons being referred to as “relevant persons”). This pricing term sheet is directed only at relevant persons and must not be acted on or relied on by persons who are not relevant persons. Any investment or investment activity to which this pricing term sheet relates is available only to relevant persons and will be engaged in only with relevant persons. Any person who is not a relevant person should not act or rely on this pricing term sheet or any of its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III-4</w:t>
      </w:r>
    </w:p>
    <w:p>
      <w:pPr>
        <w:sectPr>
          <w:pgSz w:w="11900" w:h="16838" w:orient="portrait"/>
          <w:cols w:equalWidth="0" w:num="1">
            <w:col w:w="11000"/>
          </w:cols>
          <w:pgMar w:left="440" w:top="266" w:right="459" w:bottom="1440" w:gutter="0" w:footer="0" w:header="0"/>
        </w:sectPr>
      </w:pPr>
    </w:p>
    <w:bookmarkStart w:id="49" w:name="page50"/>
    <w:bookmarkEnd w:id="4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does not constitute an offer to sell or a solicitation of an offer to buy or an advertisement in respect of the Notes in any province or territory of Canada other than the provinces of Alberta, British Columbia, Nova Scotia, Ontario, Québec and Saskatchewan, and in those permitted provinces only to investors that are “accredited investors” as defined in National Instrument 45-106 Prospectus Exemptions and “permitted clients” as defined in National Instrument 31-103 Registration Requirements, Exemptions and Ongoing Registrant Obligations.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III-5</w:t>
      </w:r>
    </w:p>
    <w:p>
      <w:pPr>
        <w:sectPr>
          <w:pgSz w:w="11900" w:h="16838" w:orient="portrait"/>
          <w:cols w:equalWidth="0" w:num="1">
            <w:col w:w="10920"/>
          </w:cols>
          <w:pgMar w:left="440" w:top="270" w:right="5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Officers’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40" w:type="dxa"/>
            <w:vAlign w:val="bottom"/>
            <w:tcBorders>
              <w:bottom w:val="single" w:sz="8" w:color="auto"/>
            </w:tcBorders>
          </w:tcPr>
          <w:p>
            <w:pPr>
              <w:spacing w:after="0"/>
              <w:rPr>
                <w:sz w:val="17"/>
                <w:szCs w:val="17"/>
                <w:color w:val="auto"/>
              </w:rPr>
            </w:pPr>
          </w:p>
        </w:tc>
        <w:tc>
          <w:tcPr>
            <w:tcW w:w="13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w w:val="97"/>
              </w:rPr>
              <w:t>, 2026</w:t>
            </w:r>
          </w:p>
        </w:tc>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12"/>
        </w:trPr>
        <w:tc>
          <w:tcPr>
            <w:tcW w:w="4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                , solely in my capacity as                of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0" w:type="dxa"/>
            <w:vAlign w:val="bottom"/>
          </w:tcPr>
          <w:p>
            <w:pPr>
              <w:spacing w:after="0"/>
              <w:rPr>
                <w:sz w:val="24"/>
                <w:szCs w:val="24"/>
                <w:color w:val="auto"/>
              </w:rPr>
            </w:pPr>
          </w:p>
        </w:tc>
        <w:tc>
          <w:tcPr>
            <w:tcW w:w="46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a                organized under the laws of                (the</w:t>
            </w:r>
          </w:p>
        </w:tc>
      </w:tr>
      <w:tr>
        <w:trPr>
          <w:trHeight w:val="20"/>
        </w:trPr>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not in an individual capacity, hereby certify as follows on behalf of the Company pursuant to Section 6(e) of the Underwriting Agreement, dated as of June 2, 2026, executed in connection with the offering by the Company of $1,500,000,000 aggregate principal amount of its 5.750% senior notes due 2036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40" w:right="700" w:firstLine="529"/>
        <w:spacing w:after="0" w:line="282" w:lineRule="auto"/>
        <w:rPr>
          <w:sz w:val="20"/>
          <w:szCs w:val="20"/>
          <w:color w:val="auto"/>
        </w:rPr>
      </w:pPr>
      <w:r>
        <w:rPr>
          <w:rFonts w:ascii="Times New Roman" w:cs="Times New Roman" w:eastAsia="Times New Roman" w:hAnsi="Times New Roman"/>
          <w:sz w:val="18"/>
          <w:szCs w:val="18"/>
          <w:color w:val="auto"/>
        </w:rPr>
        <w:t>1.  I have carefully examined the Disclosure Package, the Final Prospectus and any supplements or amendments thereto, and the Underwriting Agreement;</w:t>
      </w:r>
    </w:p>
    <w:p>
      <w:pPr>
        <w:spacing w:after="0" w:line="54" w:lineRule="exact"/>
        <w:rPr>
          <w:sz w:val="20"/>
          <w:szCs w:val="20"/>
          <w:color w:val="auto"/>
        </w:rPr>
      </w:pPr>
    </w:p>
    <w:p>
      <w:pPr>
        <w:ind w:left="440" w:right="120" w:firstLine="529"/>
        <w:spacing w:after="0" w:line="266" w:lineRule="auto"/>
        <w:rPr>
          <w:sz w:val="20"/>
          <w:szCs w:val="20"/>
          <w:color w:val="auto"/>
        </w:rPr>
      </w:pPr>
      <w:r>
        <w:rPr>
          <w:rFonts w:ascii="Times New Roman" w:cs="Times New Roman" w:eastAsia="Times New Roman" w:hAnsi="Times New Roman"/>
          <w:sz w:val="18"/>
          <w:szCs w:val="18"/>
          <w:color w:val="auto"/>
        </w:rPr>
        <w:t>2.  To the best of my knowledge, the representations and warranties of the Company in the Underwriting Agreement are true and correct on and as of the Closing Date with the same effect as if made on the Closing Date, and the Company has complied with all the agreements and satisfied all the conditions on its part to be performed or satisfied hereunder at or prior to the Closing Date; and</w:t>
      </w:r>
    </w:p>
    <w:p>
      <w:pPr>
        <w:spacing w:after="0" w:line="68" w:lineRule="exact"/>
        <w:rPr>
          <w:sz w:val="20"/>
          <w:szCs w:val="20"/>
          <w:color w:val="auto"/>
        </w:rPr>
      </w:pPr>
    </w:p>
    <w:p>
      <w:pPr>
        <w:ind w:left="440" w:firstLine="529"/>
        <w:spacing w:after="0" w:line="258" w:lineRule="auto"/>
        <w:rPr>
          <w:sz w:val="20"/>
          <w:szCs w:val="20"/>
          <w:color w:val="auto"/>
        </w:rPr>
      </w:pPr>
      <w:r>
        <w:rPr>
          <w:rFonts w:ascii="Times New Roman" w:cs="Times New Roman" w:eastAsia="Times New Roman" w:hAnsi="Times New Roman"/>
          <w:sz w:val="18"/>
          <w:szCs w:val="18"/>
          <w:color w:val="auto"/>
        </w:rPr>
        <w:t>3.  To the best of my knowledge, since the date of the most recent financial statements incorporated by reference in the Disclosure Package and the Final Prospectus (exclusive of any amendment or supplement thereto), there has been no material adverse change in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 assigned to them in the Underwriting Agreement.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III-6</w:t>
      </w:r>
    </w:p>
    <w:p>
      <w:pPr>
        <w:sectPr>
          <w:pgSz w:w="11900" w:h="16838" w:orient="portrait"/>
          <w:cols w:equalWidth="0" w:num="1">
            <w:col w:w="10980"/>
          </w:cols>
          <w:pgMar w:left="440" w:top="266" w:right="4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CEMEX,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THE BANK OF NEW YORK MELLON</w:t>
      </w: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2" w:name="page53"/>
    <w:bookmarkEnd w:id="52"/>
    <w:tbl>
      <w:tblPr>
        <w:tblLayout w:type="fixed"/>
        <w:tblInd w:w="4"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36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Reconciliation and tie between</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36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rPr>
              <w:t>Trust Indenture Act of 1939 and Indenture*</w:t>
            </w:r>
          </w:p>
        </w:tc>
        <w:tc>
          <w:tcPr>
            <w:tcW w:w="0" w:type="dxa"/>
            <w:vAlign w:val="bottom"/>
          </w:tcPr>
          <w:p>
            <w:pPr>
              <w:spacing w:after="0"/>
              <w:rPr>
                <w:sz w:val="1"/>
                <w:szCs w:val="1"/>
                <w:color w:val="auto"/>
              </w:rPr>
            </w:pPr>
          </w:p>
        </w:tc>
      </w:tr>
      <w:tr>
        <w:trPr>
          <w:trHeight w:val="367"/>
        </w:trPr>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Trust Indenture</w:t>
            </w:r>
          </w:p>
        </w:tc>
        <w:tc>
          <w:tcPr>
            <w:tcW w:w="5360" w:type="dxa"/>
            <w:vAlign w:val="bottom"/>
            <w:gridSpan w:val="3"/>
            <w:vMerge w:val="restart"/>
          </w:tcPr>
          <w:p>
            <w:pPr>
              <w:ind w:left="3340"/>
              <w:spacing w:after="0"/>
              <w:rPr>
                <w:sz w:val="20"/>
                <w:szCs w:val="20"/>
                <w:color w:val="auto"/>
              </w:rPr>
            </w:pPr>
            <w:r>
              <w:rPr>
                <w:rFonts w:ascii="Times New Roman" w:cs="Times New Roman" w:eastAsia="Times New Roman" w:hAnsi="Times New Roman"/>
                <w:sz w:val="14"/>
                <w:szCs w:val="14"/>
                <w:b w:val="1"/>
                <w:bCs w:val="1"/>
                <w:color w:val="auto"/>
              </w:rPr>
              <w:t>Indenture Section</w:t>
            </w:r>
          </w:p>
        </w:tc>
        <w:tc>
          <w:tcPr>
            <w:tcW w:w="0" w:type="dxa"/>
            <w:vAlign w:val="bottom"/>
          </w:tcPr>
          <w:p>
            <w:pPr>
              <w:spacing w:after="0"/>
              <w:rPr>
                <w:sz w:val="1"/>
                <w:szCs w:val="1"/>
                <w:color w:val="auto"/>
              </w:rPr>
            </w:pPr>
          </w:p>
        </w:tc>
      </w:tr>
      <w:tr>
        <w:trPr>
          <w:trHeight w:val="173"/>
        </w:trPr>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Act Section</w:t>
            </w:r>
          </w:p>
        </w:tc>
        <w:tc>
          <w:tcPr>
            <w:tcW w:w="5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w w:val="98"/>
              </w:rPr>
              <w:t>§ 310</w:t>
            </w:r>
          </w:p>
        </w:tc>
        <w:tc>
          <w:tcPr>
            <w:tcW w:w="2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w:t>
            </w:r>
          </w:p>
        </w:tc>
        <w:tc>
          <w:tcPr>
            <w:tcW w:w="17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8"/>
              </w:rPr>
              <w:t>11.04(a), 16.02</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(b)</w:t>
            </w:r>
          </w:p>
        </w:tc>
        <w:tc>
          <w:tcPr>
            <w:tcW w:w="536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w w:val="98"/>
              </w:rPr>
              <w:t>11.01(f), 11.04(b), 11.05(1),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16.02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(b)(1)</w:t>
            </w:r>
          </w:p>
        </w:tc>
        <w:tc>
          <w:tcPr>
            <w:tcW w:w="536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11.04(b), 16.02</w:t>
            </w:r>
          </w:p>
        </w:tc>
        <w:tc>
          <w:tcPr>
            <w:tcW w:w="0" w:type="dxa"/>
            <w:vAlign w:val="bottom"/>
          </w:tcPr>
          <w:p>
            <w:pPr>
              <w:spacing w:after="0"/>
              <w:rPr>
                <w:sz w:val="1"/>
                <w:szCs w:val="1"/>
                <w:color w:val="auto"/>
              </w:rPr>
            </w:pPr>
          </w:p>
        </w:tc>
      </w:tr>
      <w:tr>
        <w:trPr>
          <w:trHeight w:val="216"/>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 311</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36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11.01(f), 16.02</w:t>
            </w:r>
          </w:p>
        </w:tc>
        <w:tc>
          <w:tcPr>
            <w:tcW w:w="0" w:type="dxa"/>
            <w:vAlign w:val="bottom"/>
          </w:tcPr>
          <w:p>
            <w:pPr>
              <w:spacing w:after="0"/>
              <w:rPr>
                <w:sz w:val="1"/>
                <w:szCs w:val="1"/>
                <w:color w:val="auto"/>
              </w:rPr>
            </w:pPr>
          </w:p>
        </w:tc>
      </w:tr>
      <w:tr>
        <w:trPr>
          <w:trHeight w:val="216"/>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 312</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36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14.02(d), 16.02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(b)</w:t>
            </w:r>
          </w:p>
        </w:tc>
        <w:tc>
          <w:tcPr>
            <w:tcW w:w="44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11.10, 16.02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(c)</w:t>
            </w:r>
          </w:p>
        </w:tc>
        <w:tc>
          <w:tcPr>
            <w:tcW w:w="44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11.10, 16.02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313 (a)</w:t>
            </w:r>
          </w:p>
        </w:tc>
        <w:tc>
          <w:tcPr>
            <w:tcW w:w="536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10.01(a), 16.02</w:t>
            </w:r>
          </w:p>
        </w:tc>
        <w:tc>
          <w:tcPr>
            <w:tcW w:w="0" w:type="dxa"/>
            <w:vAlign w:val="bottom"/>
          </w:tcPr>
          <w:p>
            <w:pPr>
              <w:spacing w:after="0"/>
              <w:rPr>
                <w:sz w:val="1"/>
                <w:szCs w:val="1"/>
                <w:color w:val="auto"/>
              </w:rPr>
            </w:pPr>
          </w:p>
        </w:tc>
      </w:tr>
      <w:tr>
        <w:trPr>
          <w:trHeight w:val="216"/>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 314</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16.02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315 (e)</w:t>
            </w:r>
          </w:p>
        </w:tc>
        <w:tc>
          <w:tcPr>
            <w:tcW w:w="44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11.05, 16.02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 316</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16.02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 317</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16.02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 318</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16.02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84" w:right="3099" w:hanging="5484"/>
        <w:spacing w:after="0" w:line="454" w:lineRule="auto"/>
        <w:tabs>
          <w:tab w:leader="none" w:pos="2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reconciliation and tie shall not, for any purpose, be deemed to be a part of the Indenture. i</w:t>
      </w:r>
    </w:p>
    <w:p>
      <w:pPr>
        <w:sectPr>
          <w:pgSz w:w="11900" w:h="16838" w:orient="portrait"/>
          <w:cols w:equalWidth="0" w:num="1">
            <w:col w:w="10023"/>
          </w:cols>
          <w:pgMar w:left="436" w:top="266" w:right="1440" w:bottom="1440" w:gutter="0" w:footer="0" w:header="0"/>
        </w:sectPr>
      </w:pPr>
    </w:p>
    <w:bookmarkStart w:id="53" w:name="page54"/>
    <w:bookmarkEnd w:id="53"/>
    <w:tbl>
      <w:tblPr>
        <w:tblLayout w:type="fixed"/>
        <w:tblInd w:w="4" w:type="dxa"/>
        <w:tblCellMar>
          <w:top w:w="0" w:type="dxa"/>
          <w:left w:w="0" w:type="dxa"/>
          <w:bottom w:w="0" w:type="dxa"/>
          <w:right w:w="0" w:type="dxa"/>
        </w:tblCellMar>
      </w:tblPr>
      <w:tr>
        <w:trPr>
          <w:trHeight w:val="364"/>
        </w:trPr>
        <w:tc>
          <w:tcPr>
            <w:tcW w:w="1060" w:type="dxa"/>
            <w:vAlign w:val="bottom"/>
          </w:tcPr>
          <w:p>
            <w:pPr>
              <w:spacing w:after="0"/>
              <w:rPr>
                <w:sz w:val="24"/>
                <w:szCs w:val="24"/>
                <w:color w:val="auto"/>
              </w:rPr>
            </w:pPr>
          </w:p>
        </w:tc>
        <w:tc>
          <w:tcPr>
            <w:tcW w:w="75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26"/>
                <w:szCs w:val="26"/>
                <w:b w:val="1"/>
                <w:bCs w:val="1"/>
                <w:color w:val="auto"/>
                <w:vertAlign w:val="superscript"/>
              </w:rPr>
              <w:t>*</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7520" w:type="dxa"/>
            <w:vAlign w:val="bottom"/>
            <w:vMerge w:val="restart"/>
          </w:tcPr>
          <w:p>
            <w:pPr>
              <w:jc w:val="center"/>
              <w:ind w:left="1230"/>
              <w:spacing w:after="0"/>
              <w:rPr>
                <w:sz w:val="20"/>
                <w:szCs w:val="20"/>
                <w:color w:val="auto"/>
              </w:rPr>
            </w:pPr>
            <w:r>
              <w:rPr>
                <w:rFonts w:ascii="Times New Roman" w:cs="Times New Roman" w:eastAsia="Times New Roman" w:hAnsi="Times New Roman"/>
                <w:sz w:val="18"/>
                <w:szCs w:val="18"/>
                <w:color w:val="auto"/>
                <w:w w:val="97"/>
              </w:rPr>
              <w:t>ARTICLE I</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4"/>
                <w:szCs w:val="24"/>
                <w:color w:val="auto"/>
              </w:rPr>
            </w:pPr>
          </w:p>
        </w:tc>
        <w:tc>
          <w:tcPr>
            <w:tcW w:w="75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DEFINITIONS</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1.01  </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4"/>
                <w:szCs w:val="24"/>
                <w:color w:val="auto"/>
              </w:rPr>
            </w:pPr>
          </w:p>
        </w:tc>
        <w:tc>
          <w:tcPr>
            <w:tcW w:w="75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ARTICLE II</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4"/>
                <w:szCs w:val="24"/>
                <w:color w:val="auto"/>
              </w:rPr>
            </w:pPr>
          </w:p>
        </w:tc>
        <w:tc>
          <w:tcPr>
            <w:tcW w:w="75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FORMS OF SECURITIES</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Terms of the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Form of Trustee’s Certificate of Authentication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Form of Trustee’s Certificate of Authentication by an Authenticating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4"/>
                <w:szCs w:val="24"/>
                <w:color w:val="auto"/>
              </w:rPr>
            </w:pPr>
          </w:p>
        </w:tc>
        <w:tc>
          <w:tcPr>
            <w:tcW w:w="75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7"/>
              </w:rPr>
              <w:t>ARTICLE III</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4"/>
                <w:szCs w:val="24"/>
                <w:color w:val="auto"/>
              </w:rPr>
            </w:pPr>
          </w:p>
        </w:tc>
        <w:tc>
          <w:tcPr>
            <w:tcW w:w="75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THE DEBT SECURITIES</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Amount Unlimited; Issuable in Series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3.02  </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Denominations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Execution, Authentication, Delivery and Dating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3.04  </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Temporary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3.05  </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Transfer and Exchange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Mutilated, Destroyed, Lost and Stolen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    Payment of Interest; Interest Rights Preserved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3.09  </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    Computation of Interest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3.11    Currency of Payments in Respect of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3.12  </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Judgments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3.13  </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CUSIP Numbers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231140</wp:posOffset>
            </wp:positionV>
            <wp:extent cx="7715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91"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Table of Contents is not a part of the Indenture.</w:t>
      </w:r>
    </w:p>
    <w:p>
      <w:pPr>
        <w:spacing w:after="0" w:line="1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4"/>
          </w:cols>
          <w:pgMar w:left="436" w:top="266" w:right="4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ARTICLE IV</w:t>
            </w:r>
          </w:p>
        </w:tc>
        <w:tc>
          <w:tcPr>
            <w:tcW w:w="1780" w:type="dxa"/>
            <w:vAlign w:val="bottom"/>
          </w:tcPr>
          <w:p>
            <w:pPr>
              <w:spacing w:after="0"/>
              <w:rPr>
                <w:sz w:val="20"/>
                <w:szCs w:val="20"/>
                <w:color w:val="auto"/>
              </w:rPr>
            </w:pPr>
          </w:p>
        </w:tc>
      </w:tr>
      <w:tr>
        <w:trPr>
          <w:trHeight w:val="306"/>
        </w:trPr>
        <w:tc>
          <w:tcPr>
            <w:tcW w:w="1060" w:type="dxa"/>
            <w:vAlign w:val="bottom"/>
          </w:tcPr>
          <w:p>
            <w:pPr>
              <w:spacing w:after="0"/>
              <w:rPr>
                <w:sz w:val="24"/>
                <w:szCs w:val="24"/>
                <w:color w:val="auto"/>
              </w:rPr>
            </w:pPr>
          </w:p>
        </w:tc>
        <w:tc>
          <w:tcPr>
            <w:tcW w:w="8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REDEMPTION OF SECURITIES</w:t>
            </w:r>
          </w:p>
        </w:tc>
        <w:tc>
          <w:tcPr>
            <w:tcW w:w="1780" w:type="dxa"/>
            <w:vAlign w:val="bottom"/>
          </w:tcPr>
          <w:p>
            <w:pPr>
              <w:spacing w:after="0"/>
              <w:rPr>
                <w:sz w:val="24"/>
                <w:szCs w:val="24"/>
                <w:color w:val="auto"/>
              </w:rPr>
            </w:pP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Applicability of Right of Redemption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Selection of Securities to be Redeemed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Notice of Redemption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4.04    Deposit of Redemption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4.05    Securities Payable on Redemption Date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Securities Redeemed in Part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060" w:type="dxa"/>
            <w:vAlign w:val="bottom"/>
          </w:tcPr>
          <w:p>
            <w:pPr>
              <w:spacing w:after="0"/>
              <w:rPr>
                <w:sz w:val="20"/>
                <w:szCs w:val="20"/>
                <w:color w:val="auto"/>
              </w:rPr>
            </w:pPr>
          </w:p>
        </w:tc>
        <w:tc>
          <w:tcPr>
            <w:tcW w:w="81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ARTICLE V</w:t>
            </w:r>
          </w:p>
        </w:tc>
        <w:tc>
          <w:tcPr>
            <w:tcW w:w="1780" w:type="dxa"/>
            <w:vAlign w:val="bottom"/>
          </w:tcPr>
          <w:p>
            <w:pPr>
              <w:spacing w:after="0"/>
              <w:rPr>
                <w:sz w:val="20"/>
                <w:szCs w:val="20"/>
                <w:color w:val="auto"/>
              </w:rPr>
            </w:pPr>
          </w:p>
        </w:tc>
      </w:tr>
      <w:tr>
        <w:trPr>
          <w:trHeight w:val="306"/>
        </w:trPr>
        <w:tc>
          <w:tcPr>
            <w:tcW w:w="1060" w:type="dxa"/>
            <w:vAlign w:val="bottom"/>
          </w:tcPr>
          <w:p>
            <w:pPr>
              <w:spacing w:after="0"/>
              <w:rPr>
                <w:sz w:val="24"/>
                <w:szCs w:val="24"/>
                <w:color w:val="auto"/>
              </w:rPr>
            </w:pPr>
          </w:p>
        </w:tc>
        <w:tc>
          <w:tcPr>
            <w:tcW w:w="8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SINKING FUNDS</w:t>
            </w:r>
          </w:p>
        </w:tc>
        <w:tc>
          <w:tcPr>
            <w:tcW w:w="1780" w:type="dxa"/>
            <w:vAlign w:val="bottom"/>
          </w:tcPr>
          <w:p>
            <w:pPr>
              <w:spacing w:after="0"/>
              <w:rPr>
                <w:sz w:val="24"/>
                <w:szCs w:val="24"/>
                <w:color w:val="auto"/>
              </w:rPr>
            </w:pP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Applicability of Sinking Fund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Mandatory Sinking Fund Obligation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Optional Redemption at Sinking Fund Redemption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Application of Sinking Fund Payment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060" w:type="dxa"/>
            <w:vAlign w:val="bottom"/>
          </w:tcPr>
          <w:p>
            <w:pPr>
              <w:spacing w:after="0"/>
              <w:rPr>
                <w:sz w:val="24"/>
                <w:szCs w:val="24"/>
                <w:color w:val="auto"/>
              </w:rPr>
            </w:pPr>
          </w:p>
        </w:tc>
        <w:tc>
          <w:tcPr>
            <w:tcW w:w="8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ARTICLE VI</w:t>
            </w:r>
          </w:p>
        </w:tc>
        <w:tc>
          <w:tcPr>
            <w:tcW w:w="1780" w:type="dxa"/>
            <w:vAlign w:val="bottom"/>
          </w:tcPr>
          <w:p>
            <w:pPr>
              <w:spacing w:after="0"/>
              <w:rPr>
                <w:sz w:val="24"/>
                <w:szCs w:val="24"/>
                <w:color w:val="auto"/>
              </w:rPr>
            </w:pPr>
          </w:p>
        </w:tc>
      </w:tr>
      <w:tr>
        <w:trPr>
          <w:trHeight w:val="306"/>
        </w:trPr>
        <w:tc>
          <w:tcPr>
            <w:tcW w:w="1060" w:type="dxa"/>
            <w:vAlign w:val="bottom"/>
          </w:tcPr>
          <w:p>
            <w:pPr>
              <w:spacing w:after="0"/>
              <w:rPr>
                <w:sz w:val="24"/>
                <w:szCs w:val="24"/>
                <w:color w:val="auto"/>
              </w:rPr>
            </w:pPr>
          </w:p>
        </w:tc>
        <w:tc>
          <w:tcPr>
            <w:tcW w:w="81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PARTICULAR COVENANTS OF THE COMPANY</w:t>
            </w:r>
          </w:p>
        </w:tc>
        <w:tc>
          <w:tcPr>
            <w:tcW w:w="1780" w:type="dxa"/>
            <w:vAlign w:val="bottom"/>
          </w:tcPr>
          <w:p>
            <w:pPr>
              <w:spacing w:after="0"/>
              <w:rPr>
                <w:sz w:val="24"/>
                <w:szCs w:val="24"/>
                <w:color w:val="auto"/>
              </w:rPr>
            </w:pP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Payments of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6.02  </w:t>
            </w:r>
          </w:p>
        </w:tc>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Paying Agent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To Hold Payment in Trust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Merger, Consolidation and Sale of Assets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6.05  </w:t>
            </w:r>
          </w:p>
        </w:tc>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Certificate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Conditional Waiver by Holders of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Statement by Officers as to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060" w:type="dxa"/>
            <w:vAlign w:val="bottom"/>
          </w:tcPr>
          <w:p>
            <w:pPr>
              <w:spacing w:after="0"/>
              <w:rPr>
                <w:sz w:val="24"/>
                <w:szCs w:val="24"/>
                <w:color w:val="auto"/>
              </w:rPr>
            </w:pPr>
          </w:p>
        </w:tc>
        <w:tc>
          <w:tcPr>
            <w:tcW w:w="81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ARTICLE VII</w:t>
            </w:r>
          </w:p>
        </w:tc>
        <w:tc>
          <w:tcPr>
            <w:tcW w:w="1780" w:type="dxa"/>
            <w:vAlign w:val="bottom"/>
          </w:tcPr>
          <w:p>
            <w:pPr>
              <w:spacing w:after="0"/>
              <w:rPr>
                <w:sz w:val="24"/>
                <w:szCs w:val="24"/>
                <w:color w:val="auto"/>
              </w:rPr>
            </w:pPr>
          </w:p>
        </w:tc>
      </w:tr>
      <w:tr>
        <w:trPr>
          <w:trHeight w:val="306"/>
        </w:trPr>
        <w:tc>
          <w:tcPr>
            <w:tcW w:w="1060" w:type="dxa"/>
            <w:vAlign w:val="bottom"/>
          </w:tcPr>
          <w:p>
            <w:pPr>
              <w:spacing w:after="0"/>
              <w:rPr>
                <w:sz w:val="24"/>
                <w:szCs w:val="24"/>
                <w:color w:val="auto"/>
              </w:rPr>
            </w:pPr>
          </w:p>
        </w:tc>
        <w:tc>
          <w:tcPr>
            <w:tcW w:w="81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REMEDIES OF TRUSTEE AND SECURITYHOLDERS</w:t>
            </w:r>
          </w:p>
        </w:tc>
        <w:tc>
          <w:tcPr>
            <w:tcW w:w="1780" w:type="dxa"/>
            <w:vAlign w:val="bottom"/>
          </w:tcPr>
          <w:p>
            <w:pPr>
              <w:spacing w:after="0"/>
              <w:rPr>
                <w:sz w:val="24"/>
                <w:szCs w:val="24"/>
                <w:color w:val="auto"/>
              </w:rPr>
            </w:pP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Acceleration; Rescission and Annulment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7.03  </w:t>
            </w:r>
          </w:p>
        </w:tc>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Remedies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7.04  </w:t>
            </w:r>
          </w:p>
        </w:tc>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as Attorney-in-Fact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7.05  </w:t>
            </w:r>
          </w:p>
        </w:tc>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Priorities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7.06    Control by Securityholders; Waiver of Past Defaults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Limitation on Suits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Undertaking for Costs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7.09  </w:t>
            </w:r>
          </w:p>
        </w:tc>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 Cumulative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060" w:type="dxa"/>
            <w:vAlign w:val="bottom"/>
          </w:tcPr>
          <w:p>
            <w:pPr>
              <w:spacing w:after="0"/>
              <w:rPr>
                <w:sz w:val="24"/>
                <w:szCs w:val="24"/>
                <w:color w:val="auto"/>
              </w:rPr>
            </w:pPr>
          </w:p>
        </w:tc>
        <w:tc>
          <w:tcPr>
            <w:tcW w:w="8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ARTICLE VIII</w:t>
            </w:r>
          </w:p>
        </w:tc>
        <w:tc>
          <w:tcPr>
            <w:tcW w:w="1780" w:type="dxa"/>
            <w:vAlign w:val="bottom"/>
          </w:tcPr>
          <w:p>
            <w:pPr>
              <w:spacing w:after="0"/>
              <w:rPr>
                <w:sz w:val="24"/>
                <w:szCs w:val="24"/>
                <w:color w:val="auto"/>
              </w:rPr>
            </w:pPr>
          </w:p>
        </w:tc>
      </w:tr>
      <w:tr>
        <w:trPr>
          <w:trHeight w:val="306"/>
        </w:trPr>
        <w:tc>
          <w:tcPr>
            <w:tcW w:w="1060" w:type="dxa"/>
            <w:vAlign w:val="bottom"/>
          </w:tcPr>
          <w:p>
            <w:pPr>
              <w:spacing w:after="0"/>
              <w:rPr>
                <w:sz w:val="24"/>
                <w:szCs w:val="24"/>
                <w:color w:val="auto"/>
              </w:rPr>
            </w:pPr>
          </w:p>
        </w:tc>
        <w:tc>
          <w:tcPr>
            <w:tcW w:w="81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CONCERNING THE SECURITYHOLDERS</w:t>
            </w:r>
          </w:p>
        </w:tc>
        <w:tc>
          <w:tcPr>
            <w:tcW w:w="1780" w:type="dxa"/>
            <w:vAlign w:val="bottom"/>
          </w:tcPr>
          <w:p>
            <w:pPr>
              <w:spacing w:after="0"/>
              <w:rPr>
                <w:sz w:val="24"/>
                <w:szCs w:val="24"/>
                <w:color w:val="auto"/>
              </w:rPr>
            </w:pP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Evidence of Action of Securityholders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Proof of Execution or Holding of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8.03    Persons Deemed Owners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Effect of Consents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948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ARTICLE IX</w:t>
            </w:r>
          </w:p>
        </w:tc>
        <w:tc>
          <w:tcPr>
            <w:tcW w:w="1480" w:type="dxa"/>
            <w:vAlign w:val="bottom"/>
          </w:tcPr>
          <w:p>
            <w:pPr>
              <w:spacing w:after="0"/>
              <w:rPr>
                <w:sz w:val="20"/>
                <w:szCs w:val="20"/>
                <w:color w:val="auto"/>
              </w:rPr>
            </w:pPr>
          </w:p>
        </w:tc>
      </w:tr>
      <w:tr>
        <w:trPr>
          <w:trHeight w:val="306"/>
        </w:trPr>
        <w:tc>
          <w:tcPr>
            <w:tcW w:w="94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SECURITYHOLDERS’ MEETINGS</w:t>
            </w:r>
          </w:p>
        </w:tc>
        <w:tc>
          <w:tcPr>
            <w:tcW w:w="1480" w:type="dxa"/>
            <w:vAlign w:val="bottom"/>
          </w:tcPr>
          <w:p>
            <w:pPr>
              <w:spacing w:after="0"/>
              <w:rPr>
                <w:sz w:val="24"/>
                <w:szCs w:val="24"/>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9.01    Purposes of Meetings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9.02    Call of Meetings by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9.03    Call of Meetings by Company or Securityholders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9.04    Qualifications for Voting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9.05    Regulation of Meetings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9.06    Voting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9.07    No Delay of Rights by Meeting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94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ARTICLE X</w:t>
            </w:r>
          </w:p>
        </w:tc>
        <w:tc>
          <w:tcPr>
            <w:tcW w:w="1480" w:type="dxa"/>
            <w:vAlign w:val="bottom"/>
          </w:tcPr>
          <w:p>
            <w:pPr>
              <w:spacing w:after="0"/>
              <w:rPr>
                <w:sz w:val="24"/>
                <w:szCs w:val="24"/>
                <w:color w:val="auto"/>
              </w:rPr>
            </w:pPr>
          </w:p>
        </w:tc>
      </w:tr>
      <w:tr>
        <w:trPr>
          <w:trHeight w:val="306"/>
        </w:trPr>
        <w:tc>
          <w:tcPr>
            <w:tcW w:w="948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REPORTS BY THE COMPANY AND THE TRUSTEE AND</w:t>
            </w:r>
          </w:p>
        </w:tc>
        <w:tc>
          <w:tcPr>
            <w:tcW w:w="1480" w:type="dxa"/>
            <w:vAlign w:val="bottom"/>
          </w:tcPr>
          <w:p>
            <w:pPr>
              <w:spacing w:after="0"/>
              <w:rPr>
                <w:sz w:val="24"/>
                <w:szCs w:val="24"/>
                <w:color w:val="auto"/>
              </w:rPr>
            </w:pPr>
          </w:p>
        </w:tc>
      </w:tr>
      <w:tr>
        <w:trPr>
          <w:trHeight w:val="216"/>
        </w:trPr>
        <w:tc>
          <w:tcPr>
            <w:tcW w:w="948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SECURITYHOLDERS’ LISTS</w:t>
            </w:r>
          </w:p>
        </w:tc>
        <w:tc>
          <w:tcPr>
            <w:tcW w:w="148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    Reports by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    Reports by the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    Securityholders’ Lists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948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ARTICLE XI</w:t>
            </w:r>
          </w:p>
        </w:tc>
        <w:tc>
          <w:tcPr>
            <w:tcW w:w="1480" w:type="dxa"/>
            <w:vAlign w:val="bottom"/>
          </w:tcPr>
          <w:p>
            <w:pPr>
              <w:spacing w:after="0"/>
              <w:rPr>
                <w:sz w:val="24"/>
                <w:szCs w:val="24"/>
                <w:color w:val="auto"/>
              </w:rPr>
            </w:pPr>
          </w:p>
        </w:tc>
      </w:tr>
      <w:tr>
        <w:trPr>
          <w:trHeight w:val="306"/>
        </w:trPr>
        <w:tc>
          <w:tcPr>
            <w:tcW w:w="94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CONCERNING THE TRUSTEE</w:t>
            </w:r>
          </w:p>
        </w:tc>
        <w:tc>
          <w:tcPr>
            <w:tcW w:w="1480" w:type="dxa"/>
            <w:vAlign w:val="bottom"/>
          </w:tcPr>
          <w:p>
            <w:pPr>
              <w:spacing w:after="0"/>
              <w:rPr>
                <w:sz w:val="24"/>
                <w:szCs w:val="24"/>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    Rights of Trustees; Compensation and Indemnity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    Duties of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11.03    Notice of Defaults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    Eligibility; Disqualification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11.05    Resignation and Notice; Removal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    Successor Trustee by Appointment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11.07    Successor Trustee by Merger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11.08    Right to Rely on Officer’s Certificate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11.09    Appointment of Authenticating Agent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    Communications by Securityholders with Other Securityholders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94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ARTICLE XII</w:t>
            </w:r>
          </w:p>
        </w:tc>
        <w:tc>
          <w:tcPr>
            <w:tcW w:w="1480" w:type="dxa"/>
            <w:vAlign w:val="bottom"/>
          </w:tcPr>
          <w:p>
            <w:pPr>
              <w:spacing w:after="0"/>
              <w:rPr>
                <w:sz w:val="24"/>
                <w:szCs w:val="24"/>
                <w:color w:val="auto"/>
              </w:rPr>
            </w:pPr>
          </w:p>
        </w:tc>
      </w:tr>
      <w:tr>
        <w:trPr>
          <w:trHeight w:val="306"/>
        </w:trPr>
        <w:tc>
          <w:tcPr>
            <w:tcW w:w="948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SATISFACTION AND DISCHARGE; DEFEASANCE</w:t>
            </w:r>
          </w:p>
        </w:tc>
        <w:tc>
          <w:tcPr>
            <w:tcW w:w="1480" w:type="dxa"/>
            <w:vAlign w:val="bottom"/>
          </w:tcPr>
          <w:p>
            <w:pPr>
              <w:spacing w:after="0"/>
              <w:rPr>
                <w:sz w:val="24"/>
                <w:szCs w:val="24"/>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    Applicability of Article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    Satisfaction and Discharge of Indenture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    Defeasance and Covenant Defeasance upon Deposit of Moneys or U.S. Government Obligations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12.04    Repayment to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12.05    Indemnity for U.S. Government Obligations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12.06    [Reserved]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12.07    Application of Trust Money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12.08    Deposits of Non-U.S. Currencies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9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XIII</w:t>
            </w:r>
          </w:p>
        </w:tc>
        <w:tc>
          <w:tcPr>
            <w:tcW w:w="1060" w:type="dxa"/>
            <w:vAlign w:val="bottom"/>
          </w:tcPr>
          <w:p>
            <w:pPr>
              <w:spacing w:after="0"/>
              <w:rPr>
                <w:sz w:val="24"/>
                <w:szCs w:val="24"/>
                <w:color w:val="auto"/>
              </w:rPr>
            </w:pPr>
          </w:p>
        </w:tc>
      </w:tr>
      <w:tr>
        <w:trPr>
          <w:trHeight w:val="306"/>
        </w:trPr>
        <w:tc>
          <w:tcPr>
            <w:tcW w:w="99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IMMUNITY OF CERTAIN PERSONS</w:t>
            </w:r>
          </w:p>
        </w:tc>
        <w:tc>
          <w:tcPr>
            <w:tcW w:w="1060" w:type="dxa"/>
            <w:vAlign w:val="bottom"/>
          </w:tcPr>
          <w:p>
            <w:pPr>
              <w:spacing w:after="0"/>
              <w:rPr>
                <w:sz w:val="24"/>
                <w:szCs w:val="24"/>
                <w:color w:val="auto"/>
              </w:rPr>
            </w:pPr>
          </w:p>
        </w:tc>
      </w:t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13.01    No Personal Liability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9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ARTICLE XIV</w:t>
            </w:r>
          </w:p>
        </w:tc>
        <w:tc>
          <w:tcPr>
            <w:tcW w:w="1060" w:type="dxa"/>
            <w:vAlign w:val="bottom"/>
          </w:tcPr>
          <w:p>
            <w:pPr>
              <w:spacing w:after="0"/>
              <w:rPr>
                <w:sz w:val="24"/>
                <w:szCs w:val="24"/>
                <w:color w:val="auto"/>
              </w:rPr>
            </w:pPr>
          </w:p>
        </w:tc>
      </w:tr>
      <w:tr>
        <w:trPr>
          <w:trHeight w:val="306"/>
        </w:trPr>
        <w:tc>
          <w:tcPr>
            <w:tcW w:w="99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SUPPLEMENTAL INDENTURES</w:t>
            </w:r>
          </w:p>
        </w:tc>
        <w:tc>
          <w:tcPr>
            <w:tcW w:w="1060" w:type="dxa"/>
            <w:vAlign w:val="bottom"/>
          </w:tcPr>
          <w:p>
            <w:pPr>
              <w:spacing w:after="0"/>
              <w:rPr>
                <w:sz w:val="24"/>
                <w:szCs w:val="24"/>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14.01    Without Consent of Securityholders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14.02    With Consent of Securityholders; Limitations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14.03    Trustee Protected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14.04    Effect of Execution of Supplemental Indenture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14.05    Notation on or Exchange of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14.06    Conformity with TIA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99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7"/>
              </w:rPr>
              <w:t>ARTICLE XV</w:t>
            </w:r>
          </w:p>
        </w:tc>
        <w:tc>
          <w:tcPr>
            <w:tcW w:w="1060" w:type="dxa"/>
            <w:vAlign w:val="bottom"/>
          </w:tcPr>
          <w:p>
            <w:pPr>
              <w:spacing w:after="0"/>
              <w:rPr>
                <w:sz w:val="24"/>
                <w:szCs w:val="24"/>
                <w:color w:val="auto"/>
              </w:rPr>
            </w:pPr>
          </w:p>
        </w:tc>
      </w:tr>
      <w:tr>
        <w:trPr>
          <w:trHeight w:val="306"/>
        </w:trPr>
        <w:tc>
          <w:tcPr>
            <w:tcW w:w="99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SUBORDINATION OF SECURITIES</w:t>
            </w:r>
          </w:p>
        </w:tc>
        <w:tc>
          <w:tcPr>
            <w:tcW w:w="1060" w:type="dxa"/>
            <w:vAlign w:val="bottom"/>
          </w:tcPr>
          <w:p>
            <w:pPr>
              <w:spacing w:after="0"/>
              <w:rPr>
                <w:sz w:val="24"/>
                <w:szCs w:val="24"/>
                <w:color w:val="auto"/>
              </w:rPr>
            </w:pPr>
          </w:p>
        </w:tc>
      </w:tr>
      <w:tr>
        <w:trPr>
          <w:trHeight w:val="21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15.01    Agreement to Subordinate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8"/>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15.02    Distribution on Dissolution, Liquidation,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xml:space="preserve"> and Reorganization; Subrogation of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15.03    No Payment on Securities in Event of Default on Senior Indebtedness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15.04    Payments on Securities Permitted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15.05    Authorization of Securityholders to Trustee to Effect Subordination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15.06    Notices to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15.07    Trustee as Holder of Senior Indebtedness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15.08    Modifications of Terms of Senior Indebtedness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15.09    Reliance on Judicial Order or Certificate of Liquidating Agent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15.10    Satisfaction and Discharge; Defeasance and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15.11    Trustee Not Fiduciary for Holders of Senior Indebtedness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99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ARTICLE XVI</w:t>
            </w:r>
          </w:p>
        </w:tc>
        <w:tc>
          <w:tcPr>
            <w:tcW w:w="1060" w:type="dxa"/>
            <w:vAlign w:val="bottom"/>
          </w:tcPr>
          <w:p>
            <w:pPr>
              <w:spacing w:after="0"/>
              <w:rPr>
                <w:sz w:val="24"/>
                <w:szCs w:val="24"/>
                <w:color w:val="auto"/>
              </w:rPr>
            </w:pPr>
          </w:p>
        </w:tc>
      </w:tr>
      <w:tr>
        <w:trPr>
          <w:trHeight w:val="306"/>
        </w:trPr>
        <w:tc>
          <w:tcPr>
            <w:tcW w:w="99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MISCELLANEOUS PROVISIONS</w:t>
            </w:r>
          </w:p>
        </w:tc>
        <w:tc>
          <w:tcPr>
            <w:tcW w:w="1060" w:type="dxa"/>
            <w:vAlign w:val="bottom"/>
          </w:tcPr>
          <w:p>
            <w:pPr>
              <w:spacing w:after="0"/>
              <w:rPr>
                <w:sz w:val="24"/>
                <w:szCs w:val="24"/>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16.01    Certificates and Opinions as to Conditions Precedent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16.02    Trust Indenture Act Controls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16.03    Notices to the Company and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16.04    Notices to Securityholders; Waiver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16.05    Legal Holiday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Section 16.06    Effects of Headings and Table of Contents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16.07    Successors and Assigns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16.08  </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Separability Clause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16.09    Benefits of Indenture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16.10  </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Originals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16.11    Governing Law; Waiver of Trial by Jury; Submission to Jurisdiction; Service of Process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16.12  </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Currency Indemnity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16.13  </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Signatures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16.14  </w:t>
            </w:r>
          </w:p>
        </w:tc>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Means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16.15    Foreign Account Tax Compliance Act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70" w:right="499" w:bottom="1440" w:gutter="0" w:footer="0" w:header="0"/>
        </w:sectPr>
      </w:pPr>
    </w:p>
    <w:bookmarkStart w:id="58" w:name="page59"/>
    <w:bookmarkEnd w:id="58"/>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June 5, 2026, between Cemex, S.A.B. de C.V., a publicly traded stock corporation with variable capital (</w:t>
      </w:r>
      <w:r>
        <w:rPr>
          <w:rFonts w:ascii="Times New Roman" w:cs="Times New Roman" w:eastAsia="Times New Roman" w:hAnsi="Times New Roman"/>
          <w:sz w:val="18"/>
          <w:szCs w:val="18"/>
          <w:i w:val="1"/>
          <w:iCs w:val="1"/>
          <w:color w:val="auto"/>
        </w:rPr>
        <w:t>sociedad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anónima bursátil de capital variable</w:t>
      </w:r>
      <w:r>
        <w:rPr>
          <w:rFonts w:ascii="Times New Roman" w:cs="Times New Roman" w:eastAsia="Times New Roman" w:hAnsi="Times New Roman"/>
          <w:sz w:val="18"/>
          <w:szCs w:val="18"/>
          <w:color w:val="auto"/>
        </w:rPr>
        <w:t>) organized under the laws of the United Mexican States (the “Company”), and The Bank of New York Mellon,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(the “Trustee”).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Indenture a valid and legally binding agreement of the Company, in accordance with its terms, have been done.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That, in consideration of the premises and the purchase of the Securities by the Holders thereof for the equal and proportionate benefit of all of the present and future Holders of the Securities, each party agrees and covenants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left="680" w:hanging="244"/>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161"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 and</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“Article” or “Section” or other subdivision herein are references to an Article, Section or other subdivision of this Indenture, unless the context otherwise requires.</w:t>
      </w:r>
    </w:p>
    <w:p>
      <w:pPr>
        <w:sectPr>
          <w:pgSz w:w="11900" w:h="16838" w:orient="portrait"/>
          <w:cols w:equalWidth="0" w:num="1">
            <w:col w:w="10980"/>
          </w:cols>
          <w:pgMar w:left="440" w:top="268" w:right="47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defined in this Section 1.01 shall for all purposes of this Indenture have the meanings hereinafter set forth: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Tax Law:</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“Applicable Tax Law” shall have the meaning assigned to it in Section 16.14.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Authenticating Agent: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“Authenticating Agent” shall have the meaning assigned to it in Section 11.09.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Agent: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“Authorized Agent” shall have the meaning assigned to it in Section 16.11.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Officers: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“Authorized Officers” shall have the meaning assigned to it in Section 16.13.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term “Board of Directors” shall mean either the board of directors of the Company or the executive or any other committee of that board duly authorized to act in respect 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Resolution:</w:t>
      </w:r>
    </w:p>
    <w:p>
      <w:pPr>
        <w:spacing w:after="0" w:line="121"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such location are authorized or required by law, regulation or executive order to close.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“Capital Stock” shall mean:</w:t>
      </w:r>
    </w:p>
    <w:p>
      <w:pPr>
        <w:spacing w:after="0" w:line="117" w:lineRule="exact"/>
        <w:rPr>
          <w:sz w:val="20"/>
          <w:szCs w:val="20"/>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25" w:lineRule="exact"/>
        <w:rPr>
          <w:rFonts w:ascii="Times New Roman" w:cs="Times New Roman" w:eastAsia="Times New Roman" w:hAnsi="Times New Roman"/>
          <w:sz w:val="18"/>
          <w:szCs w:val="18"/>
          <w:color w:val="auto"/>
        </w:rPr>
      </w:pPr>
    </w:p>
    <w:p>
      <w:pPr>
        <w:ind w:right="620" w:firstLine="987"/>
        <w:spacing w:after="0" w:line="282"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 interests; and</w:t>
      </w:r>
    </w:p>
    <w:p>
      <w:pPr>
        <w:spacing w:after="0" w:line="225"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“Code” shall mean the Internal Revenue Code of 1986, as amended.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Order: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“Company Order” shall mean a written order signed in the name of the Company by any Officer and delivered to the Trustee.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Trust Office: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term “Corporate Trust Office,” or other similar term, shall mean the principal office of the Trustee at which at any particular time its corporate trust business shall be administered, which office at the date hereof is located at 240 Greenwich Street, Floor 7 East, New York, New York 10286, Attention: International Corporate Trust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Currency: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“Currency” shall mean U.S. Dollars or Foreign Currency.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“Default” shall have the meaning assigned to it in Section 11.03.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Defaulted Interest: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“Defaulted Interest” shall have the same meaning assigned to it in Section 3.08(b).</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term “Depositary” shall mean, with respect to the Securities of any series issuable or issued in whole or in part in the form of one or more Global Securities, each Person designated as Depositary for such series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Currency: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“Designated Currency” shall have the same meaning assigned to it in Section 3.12.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“Discharged” shall have the meaning assigned to it in Section 12.03.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“DTC” shall mean The Depository Trust Company, Inc. and its successors.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Means:</w:t>
      </w:r>
    </w:p>
    <w:p>
      <w:pPr>
        <w:spacing w:after="0" w:line="121"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term “Electronic Means” shall mean the following communications methods: S.W.I.F.T., e-mail (with a .pdf attached),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“Event of Default” shall have the meaning specified in Section 7.01.</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66" w:right="5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Act: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“Exchange Rate” shall have the meaning assigned to it in Section 7.01.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Floating Rate Security:</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term “Floating Rate Security” shall mean a Security that provides for the payment of interest at a variable rate determined periodically by reference to an interest rate index specified pursuant to Section 3.01.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 Holder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“Holder” and “Holder of Securities” are defined under “Securityholder; Holder of Securities; Holder.”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w:t>
      </w:r>
    </w:p>
    <w:p>
      <w:pPr>
        <w:spacing w:after="0" w:line="12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term “IFRS,” with respect to any computations required or permitted hereunder, shall mean the standards and interpretations issued by the International Accounting Standards Board as in effect from time to time; provided, however if the Company is required by the SEC to adopt (or is permitted to adopt and so adopts) a different accounting framework, including but not limited to the generally accepted accounting standards in the United States, “IFRS” shall mean such new accounting framework as in effect from time to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term “Indebtedness” shall mean any and all obligations of a Person for money borrowed which, in accordance with IFRS, would be reflected on the balance sheet of such Person as a liability on the date as of which Indebtedness is to be determined.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66" w:right="5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“Individual Securities” shall have the meaning specified in Section 3.01(p).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“Instructions” shall have the meaning assigned to it in Section 16.13.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term “Interest Payment Date” shall mean, with respect to any Security, the Stated Maturity of an installment of interest on such Security.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Sinking Fund Payment: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“Mandatory Sinking Fund Payment” shall have the meaning assigned to it in Section 5.01(b).</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Maturity:</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“Members” shall have the meaning assigned to it in Section 3.03(i).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term “Officer” shall mean any of the chairman of the board, the chief executive officer, president, chief financial officer, any executive vice president or vice president, treasurer, controller or attorney-in-fact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Officer’s Cert</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ficate: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term “Officer’s Certificate” shall mean a certificate signed by any Officer and delivered to the Trustee. Each such certificate shall include the statements provided for in Section 16.01 if and to the extent required by the provisions of such Section.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Counsel:</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term “Opinion of Counsel” shall mean an opinion in writing signed by one or more legal counsel, who may be an employee of or of counsel to the Company, and meets the requirements provided for in Section 16.01.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Sinking Fund Payment: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“Optional Sinking Fund Payment” shall have the meaning assigned to it in Section 5.01(b).</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 Security:</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term “Outstanding,” when used with respect to Securities means, as of the date of determination, all Securities theretofore authenticated and delivered under this Indenture, except:</w:t>
      </w:r>
    </w:p>
    <w:p>
      <w:pPr>
        <w:spacing w:after="0" w:line="54" w:lineRule="exact"/>
        <w:rPr>
          <w:sz w:val="20"/>
          <w:szCs w:val="20"/>
          <w:color w:val="auto"/>
        </w:rPr>
      </w:pPr>
    </w:p>
    <w:p>
      <w:pPr>
        <w:ind w:left="5460" w:right="3240" w:hanging="4473"/>
        <w:spacing w:after="0" w:line="454" w:lineRule="auto"/>
        <w:tabs>
          <w:tab w:leader="none" w:pos="12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 7</w:t>
      </w:r>
    </w:p>
    <w:p>
      <w:pPr>
        <w:sectPr>
          <w:pgSz w:w="11900" w:h="16838" w:orient="portrait"/>
          <w:cols w:equalWidth="0" w:num="1">
            <w:col w:w="10920"/>
          </w:cols>
          <w:pgMar w:left="440" w:top="266" w:right="539" w:bottom="1440" w:gutter="0" w:footer="0" w:header="0"/>
        </w:sectPr>
      </w:pPr>
    </w:p>
    <w:bookmarkStart w:id="65" w:name="page66"/>
    <w:bookmarkEnd w:id="65"/>
    <w:p>
      <w:pPr>
        <w:ind w:firstLine="987"/>
        <w:spacing w:after="0" w:line="258"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spacing w:after="0" w:line="183"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spacing w:after="0" w:line="178"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determining whether the Holders of the requisite principal amount of Securities of a series Outstanding have performed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Paying Agent: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“Paying Agent” shall have the meaning assigned to it in Section 6.02(a).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term “Person” shall mean any individual, a corporation, a limited liability company, a partnership, an association, a joint stock company, a trust, an unincorporated organization or a government or an agency or political subdivision thereof or other entity.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 of Payment:</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Predecessor Security:</w:t>
      </w:r>
    </w:p>
    <w:p>
      <w:pPr>
        <w:spacing w:after="0" w:line="121"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term “Record Date” shall mean, with respect to any interest payable on any Security on any Interest Payment Date, any date specified in such Security or pursuant to Section 3.01 with respect to such Security as the record date for the payment of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Date:</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Price:</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term “Redemption Price,” when used with respect to any Security to be redeemed, in whole or in part, shall mean the price at which it is to be redeemed pursuant to the terms of the applicable Security and this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“Register” shall have the meaning assigned to it in Section 3.05(a).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“Registrar” shall have the meaning assigned to it in Section 3.05(a).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Responsible Officers: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term “Responsible Officers” of the Trustee hereunder shall mean any vice president, any assistant vice president or any trust officer associated with the corporate trust department of the Trustee customarily performing functions similar to those performed by any of the above designated officers, and also means, with respect to a particular corporate trust matter relating to this Indenture, any other officer of the Trustee to whom such matter is referred because of such person’s knowledge of and familiarity with the particular subject and who, in each case, shall have direct responsibility for the administration of this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67" w:name="page68"/>
    <w:bookmarkEnd w:id="6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“SEC” shall mean the United States Securities and Exchange Commission, as constituted from time to time.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121"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Security Custodian:</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term “Security Custodian” shall mean the custodian with respect to any Global Security appointed by the Depositary, or any successor Person thereto, and shall initially be the Trustee.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Securityholder; Holder of Securities; Holder:</w:t>
      </w:r>
    </w:p>
    <w:p>
      <w:pPr>
        <w:spacing w:after="0" w:line="121"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The term “Securityholder” or “Holder of Securities” or “Holder,” shall mean the Person in whose name Securities shall be registered in the Register kept for that purpose hereunder.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Senior Indebtedness:</w:t>
      </w:r>
    </w:p>
    <w:p>
      <w:pPr>
        <w:spacing w:after="0" w:line="121"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w:t>
      </w:r>
    </w:p>
    <w:p>
      <w:pPr>
        <w:spacing w:after="0" w:line="3" w:lineRule="exact"/>
        <w:rPr>
          <w:sz w:val="20"/>
          <w:szCs w:val="20"/>
          <w:color w:val="auto"/>
        </w:rPr>
      </w:pPr>
    </w:p>
    <w:p>
      <w:pPr>
        <w:ind w:left="4" w:right="340" w:hanging="4"/>
        <w:spacing w:after="0" w:line="265" w:lineRule="auto"/>
        <w:tabs>
          <w:tab w:leader="none" w:pos="24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w:t>
      </w:r>
    </w:p>
    <w:p>
      <w:pPr>
        <w:ind w:left="4" w:hanging="4"/>
        <w:spacing w:after="0" w:line="253" w:lineRule="auto"/>
        <w:tabs>
          <w:tab w:leader="none" w:pos="2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Special Record Date: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“Special Record Date” shall have the meaning assigned to it in Section 3.08(b)(i).</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66"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Stated Maturity:</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term “Subsidiary,” when used with respect to any Person, any corporation, partnership, trust, limited liability company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Company: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“Successor Company” shall have the meaning assigned to it in Section 3.06(h).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Payables:</w:t>
      </w:r>
    </w:p>
    <w:p>
      <w:pPr>
        <w:spacing w:after="0" w:line="121"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Indenture Act; TIA:</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term “U.S. Dollars” shall mean such currency of the United States as at the time of payment shall be legal tender for the payment of public and private debts.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Legal Tender:</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term “U.S. Legal Tender” shall mean such coin or currency of the United States of America as at the time of payment shall be legal tender for the payment of public and private debts.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“U.S. Government Obligations” shall have the meaning assigned to it in Section 12.03.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term “United States” shall mean the United States of America, its territories and possessions, any State of the United States and the District of Columbia.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FORMS OF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Terms of the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any Officer executing such Securities as conclusively evidenced by their execution of such Securities.</w:t>
      </w:r>
    </w:p>
    <w:p>
      <w:pPr>
        <w:spacing w:after="0" w:line="188"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6"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of the Securities as shall bear thereon a certificate substantially in the form of the Trustee’s certificate of authentication hereinafter recited, executed by the Trustee by manual or electronic signature, shall be valid or become obligatory for any purpose or entitle the Holder thereof to any right or benefit under this Indenture.</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shall be dated the date of its authentication, except that any Global Security shall be dated as of the date specified as contemplated in Section 3.01.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70" w:name="page71"/>
    <w:bookmarkEnd w:id="70"/>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form of the Trustee’s certificate of authentication to be borne by the Securities shall be substantially as follows:</w:t>
      </w:r>
    </w:p>
    <w:p>
      <w:pPr>
        <w:spacing w:after="0" w:line="117" w:lineRule="exact"/>
        <w:rPr>
          <w:rFonts w:ascii="Times New Roman" w:cs="Times New Roman" w:eastAsia="Times New Roman" w:hAnsi="Times New Roman"/>
          <w:sz w:val="18"/>
          <w:szCs w:val="18"/>
          <w:color w:val="auto"/>
        </w:rPr>
      </w:pPr>
    </w:p>
    <w:p>
      <w:pPr>
        <w:ind w:left="3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of authentication: ___________</w:t>
      </w:r>
      <w:r>
        <w:rPr>
          <w:sz w:val="20"/>
          <w:szCs w:val="20"/>
          <w:color w:val="auto"/>
        </w:rPr>
        <w:tab/>
      </w:r>
      <w:r>
        <w:rPr>
          <w:rFonts w:ascii="Times New Roman" w:cs="Times New Roman" w:eastAsia="Times New Roman" w:hAnsi="Times New Roman"/>
          <w:sz w:val="17"/>
          <w:szCs w:val="17"/>
          <w:color w:val="auto"/>
        </w:rPr>
        <w:t>The Bank of New York Mellon, as Trustee</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of Trustee’s Certificate of Authentication by an Authenticating Agent</w:t>
      </w:r>
      <w:r>
        <w:rPr>
          <w:rFonts w:ascii="Times New Roman" w:cs="Times New Roman" w:eastAsia="Times New Roman" w:hAnsi="Times New Roman"/>
          <w:sz w:val="18"/>
          <w:szCs w:val="18"/>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of authentication: ___________</w:t>
      </w:r>
      <w:r>
        <w:rPr>
          <w:sz w:val="20"/>
          <w:szCs w:val="20"/>
          <w:color w:val="auto"/>
        </w:rPr>
        <w:tab/>
      </w:r>
      <w:r>
        <w:rPr>
          <w:rFonts w:ascii="Times New Roman" w:cs="Times New Roman" w:eastAsia="Times New Roman" w:hAnsi="Times New Roman"/>
          <w:sz w:val="17"/>
          <w:szCs w:val="17"/>
          <w:color w:val="auto"/>
        </w:rPr>
        <w:t>The Bank of New York Mellon, as Trustee</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[NAME OF AUTHENTICATING AGENT]</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DEBT SECURITIES</w:t>
      </w:r>
    </w:p>
    <w:p>
      <w:pPr>
        <w:spacing w:after="0" w:line="229"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that may be authenticated and delivered under this Indenture is unlimited. The Securities may be issued in one or more series. At or prior to the issuance of Securities of any series, the title and terms on each series of Securities shall be as set forth in a Board Resolution, Company Order or in one or more indentures supplemental hereto, including the following:</w:t>
      </w:r>
    </w:p>
    <w:p>
      <w:pPr>
        <w:spacing w:after="0" w:line="72" w:lineRule="exact"/>
        <w:rPr>
          <w:sz w:val="20"/>
          <w:szCs w:val="20"/>
          <w:color w:val="auto"/>
        </w:rPr>
      </w:pPr>
    </w:p>
    <w:p>
      <w:pPr>
        <w:ind w:firstLine="987"/>
        <w:spacing w:after="0" w:line="282"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71" w:name="page72"/>
    <w:bookmarkEnd w:id="71"/>
    <w:p>
      <w:pPr>
        <w:ind w:right="100" w:firstLine="987"/>
        <w:spacing w:after="0" w:line="266"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spacing w:after="0" w:line="175" w:lineRule="exact"/>
        <w:rPr>
          <w:rFonts w:ascii="Times New Roman" w:cs="Times New Roman" w:eastAsia="Times New Roman" w:hAnsi="Times New Roman"/>
          <w:sz w:val="18"/>
          <w:szCs w:val="18"/>
          <w:color w:val="auto"/>
        </w:rPr>
      </w:pPr>
    </w:p>
    <w:p>
      <w:pPr>
        <w:jc w:val="both"/>
        <w:ind w:right="300" w:firstLine="987"/>
        <w:spacing w:after="0" w:line="266"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75"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87"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75"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83"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72" w:name="page73"/>
    <w:bookmarkEnd w:id="72"/>
    <w:p>
      <w:pPr>
        <w:ind w:right="100" w:firstLine="987"/>
        <w:spacing w:after="0" w:line="282" w:lineRule="auto"/>
        <w:tabs>
          <w:tab w:leader="none" w:pos="12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61" w:lineRule="exact"/>
        <w:rPr>
          <w:rFonts w:ascii="Times New Roman" w:cs="Times New Roman" w:eastAsia="Times New Roman" w:hAnsi="Times New Roman"/>
          <w:sz w:val="18"/>
          <w:szCs w:val="18"/>
          <w:color w:val="auto"/>
        </w:rPr>
      </w:pPr>
    </w:p>
    <w:p>
      <w:pPr>
        <w:ind w:right="100" w:firstLine="987"/>
        <w:spacing w:after="0" w:line="261" w:lineRule="auto"/>
        <w:tabs>
          <w:tab w:leader="none" w:pos="12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79"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$2,000 and any integral multiple of $1,000 in excess thereof, the denominations in which Securities of the series shall be issuable;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which shall be payable upon declaration of acceleration of the Maturity thereof pursuant to Section 7.02;</w:t>
      </w:r>
    </w:p>
    <w:p>
      <w:pPr>
        <w:spacing w:after="0" w:line="161" w:lineRule="exact"/>
        <w:rPr>
          <w:rFonts w:ascii="Times New Roman" w:cs="Times New Roman" w:eastAsia="Times New Roman" w:hAnsi="Times New Roman"/>
          <w:sz w:val="18"/>
          <w:szCs w:val="18"/>
          <w:color w:val="auto"/>
        </w:rPr>
      </w:pPr>
    </w:p>
    <w:p>
      <w:pPr>
        <w:ind w:right="580" w:firstLine="987"/>
        <w:spacing w:after="0" w:line="312" w:lineRule="auto"/>
        <w:tabs>
          <w:tab w:leader="none" w:pos="12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139" w:lineRule="exact"/>
        <w:rPr>
          <w:rFonts w:ascii="Times New Roman" w:cs="Times New Roman" w:eastAsia="Times New Roman" w:hAnsi="Times New Roman"/>
          <w:sz w:val="17"/>
          <w:szCs w:val="17"/>
          <w:color w:val="auto"/>
        </w:rPr>
      </w:pPr>
    </w:p>
    <w:p>
      <w:pPr>
        <w:ind w:right="160" w:firstLine="987"/>
        <w:spacing w:after="0" w:line="282"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to be issued as Original Issue Discount Securities and the amount of discount with which such Securities may be issued;</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spacing w:after="0" w:line="175"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Global Security of the series shall be dated if other than the original issuance of the first Security of the series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issued;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3" w:name="page74"/>
    <w:bookmarkEnd w:id="73"/>
    <w:p>
      <w:pPr>
        <w:ind w:left="1220" w:hanging="233"/>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form or forms of the Securities of the series including such legends as may be required by applicable law;</w:t>
      </w:r>
    </w:p>
    <w:p>
      <w:pPr>
        <w:spacing w:after="0" w:line="225" w:lineRule="exact"/>
        <w:rPr>
          <w:rFonts w:ascii="Times New Roman" w:cs="Times New Roman" w:eastAsia="Times New Roman" w:hAnsi="Times New Roman"/>
          <w:sz w:val="18"/>
          <w:szCs w:val="18"/>
          <w:color w:val="auto"/>
        </w:rPr>
      </w:pPr>
    </w:p>
    <w:p>
      <w:pPr>
        <w:ind w:right="100" w:firstLine="987"/>
        <w:spacing w:after="0" w:line="266" w:lineRule="auto"/>
        <w:tabs>
          <w:tab w:leader="none" w:pos="12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such series are subject to subordination and the terms of such subordination (for avoidance of doubt, Article XV shall not apply to the Securities of any series unless the terms of such series expressly state it applies);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such series are to be secured and the terms of such security;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Securities of such series;</w:t>
      </w:r>
    </w:p>
    <w:p>
      <w:pPr>
        <w:spacing w:after="0" w:line="225"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or change in the provisions related to compensation and reimbursement of the Trustee which applies to Securities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206"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or change in the provisions related to supplemental indentures set forth in Sections 14.01, 14.02 and 14.04 which applies to Securities of such series;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upon the occurrence of specified events;</w:t>
      </w:r>
    </w:p>
    <w:p>
      <w:pPr>
        <w:spacing w:after="0" w:line="225"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176" w:lineRule="exact"/>
        <w:rPr>
          <w:sz w:val="20"/>
          <w:szCs w:val="20"/>
          <w:color w:val="auto"/>
        </w:rPr>
      </w:pPr>
    </w:p>
    <w:p>
      <w:pPr>
        <w:ind w:left="1320" w:hanging="333"/>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Article VI which applies to Securities of the series;</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3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such series (which terms shall not be inconsistent with the provisions of the TIA, but may modify, amend, supplement or delete any of the terms of this Indenture with respect to such series); and</w:t>
      </w:r>
    </w:p>
    <w:p>
      <w:pPr>
        <w:spacing w:after="0" w:line="161"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recourse to any subsidiaries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herein or set forth in a Board Resolution, a Company Order or in one or more indentures supplemental hereto.</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74" w:name="page75"/>
    <w:bookmarkEnd w:id="74"/>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In the absence of any specification pursuant to Section 3.01 with respect to Securities of any series, the Securities of such series shall be issuable only as Securities in minimum denominations of $2,000 and any integral multiple of $1,000 in excess thereof, and shall be payable only in U.S. Dollars.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6"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shall be executed in the name and on behalf of the Company by the manual, facsimile or other electronic signature of any Officer. If the Person whose signature is on a Security no longer holds that office at the time the Security is authenticated and delivered, the Security shall nevertheless be valid.</w:t>
      </w:r>
    </w:p>
    <w:p>
      <w:pPr>
        <w:spacing w:after="0" w:line="175"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183"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authenticating the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175"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shall be dated the date of its authentication, except as otherwise provided pursuant to Section 3.01 with respect to the Securities of such series.</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175" w:lineRule="exact"/>
        <w:rPr>
          <w:rFonts w:ascii="Times New Roman" w:cs="Times New Roman" w:eastAsia="Times New Roman" w:hAnsi="Times New Roman"/>
          <w:sz w:val="18"/>
          <w:szCs w:val="18"/>
          <w:color w:val="auto"/>
        </w:rPr>
      </w:pPr>
    </w:p>
    <w:p>
      <w:pPr>
        <w:jc w:val="both"/>
        <w:ind w:right="40" w:firstLine="987"/>
        <w:spacing w:after="0" w:line="289" w:lineRule="auto"/>
        <w:tabs>
          <w:tab w:leader="none" w:pos="124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75" w:name="page76"/>
    <w:bookmarkEnd w:id="7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(ii) shall be registered, in the name of the Depositary for such Global Security or Global Securities or the nominee of such Depositary,</w:t>
      </w:r>
    </w:p>
    <w:p>
      <w:pPr>
        <w:spacing w:after="0" w:line="27" w:lineRule="exact"/>
        <w:rPr>
          <w:sz w:val="20"/>
          <w:szCs w:val="20"/>
          <w:color w:val="auto"/>
        </w:rPr>
      </w:pPr>
    </w:p>
    <w:p>
      <w:pPr>
        <w:ind w:left="4" w:right="380" w:hanging="4"/>
        <w:spacing w:after="0" w:line="260"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delivered by the Trustee to such Depositary or pursuant to such Depositary’s instruction and (iv) shall bear a legend substantially to the following effect:</w:t>
      </w:r>
    </w:p>
    <w:p>
      <w:pPr>
        <w:spacing w:after="0" w:line="73" w:lineRule="exact"/>
        <w:rPr>
          <w:sz w:val="20"/>
          <w:szCs w:val="20"/>
          <w:color w:val="auto"/>
        </w:rPr>
      </w:pPr>
    </w:p>
    <w:p>
      <w:pPr>
        <w:jc w:val="both"/>
        <w:ind w:left="444" w:right="180"/>
        <w:spacing w:after="0" w:line="289" w:lineRule="auto"/>
        <w:rPr>
          <w:sz w:val="20"/>
          <w:szCs w:val="20"/>
          <w:color w:val="auto"/>
        </w:rPr>
      </w:pPr>
      <w:r>
        <w:rPr>
          <w:rFonts w:ascii="Times New Roman" w:cs="Times New Roman" w:eastAsia="Times New Roman" w:hAnsi="Times New Roman"/>
          <w:sz w:val="17"/>
          <w:szCs w:val="17"/>
          <w:color w:val="auto"/>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spacing w:after="0" w:line="50" w:lineRule="exact"/>
        <w:rPr>
          <w:sz w:val="20"/>
          <w:szCs w:val="20"/>
          <w:color w:val="auto"/>
        </w:rPr>
      </w:pPr>
    </w:p>
    <w:p>
      <w:pPr>
        <w:ind w:left="444"/>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DEPOSITARY TRUST COMPANY, INC. (THE “DEPOSITARY”) TO THE COMPANY OR ITS AGENT FOR REGISTRATION OF TRANSFER, EXCHANGE OR PAYMENT, AND ANY CERTIFICATE ISSUED IS REGISTERED IN THE NAME OF CEDE &amp; CO. OR IN SUCH OTHER NAME AS IS REQUESTED BY AN AUTHORIZED REPRESENTATIVE OF THE DEPOSITARY (AND ANY PAYMENT HEREON IS MADE TO CEDE &amp; CO. OR TO SUCH OTHER ENTITY AS IS REQUESTED BY AN AUTHORIZED REPRESENTATIVE OF THE DEPOSITARY), ANY TRANSFER, PLEDGE OR OTHER USE HEREOF FOR VALUE OR OTHERWISE BY OR TO ANY PERSON IS WRONGFUL SINCE THE REGISTERED OWNER HEREOF, CEDE &amp; CO., HAS AN INTEREST HEREIN.</w:t>
      </w:r>
    </w:p>
    <w:p>
      <w:pPr>
        <w:spacing w:after="0" w:line="81" w:lineRule="exact"/>
        <w:rPr>
          <w:sz w:val="20"/>
          <w:szCs w:val="20"/>
          <w:color w:val="auto"/>
        </w:rPr>
      </w:pPr>
    </w:p>
    <w:p>
      <w:pPr>
        <w:ind w:left="444" w:right="8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0"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aggregate principal amount of each Global Security may from time to time be increased or decreased by adjustments made on the records of the Security Custodian, as provided in this Indenture.</w:t>
      </w:r>
    </w:p>
    <w:p>
      <w:pPr>
        <w:spacing w:after="0" w:line="162" w:lineRule="exact"/>
        <w:rPr>
          <w:sz w:val="20"/>
          <w:szCs w:val="20"/>
          <w:color w:val="auto"/>
        </w:rPr>
      </w:pPr>
    </w:p>
    <w:p>
      <w:pPr>
        <w:ind w:left="4" w:right="60" w:firstLine="987"/>
        <w:spacing w:after="0" w:line="282"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61"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the Depositary (“Members”)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76" w:name="page77"/>
    <w:bookmarkEnd w:id="7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176" w:lineRule="exact"/>
        <w:rPr>
          <w:sz w:val="20"/>
          <w:szCs w:val="20"/>
          <w:color w:val="auto"/>
        </w:rPr>
      </w:pPr>
    </w:p>
    <w:p>
      <w:pPr>
        <w:ind w:right="20" w:firstLine="987"/>
        <w:spacing w:after="0" w:line="258" w:lineRule="auto"/>
        <w:tabs>
          <w:tab w:leader="none" w:pos="12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electronic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denominations, substantially of the tenor of the definitive Securities in lieu of which they are issued, in registered form and with such appropriate insertions, omissions, substitutions and other variations as the Officer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191"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5"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188"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179" w:lineRule="exact"/>
        <w:rPr>
          <w:rFonts w:ascii="Times New Roman" w:cs="Times New Roman" w:eastAsia="Times New Roman" w:hAnsi="Times New Roman"/>
          <w:sz w:val="18"/>
          <w:szCs w:val="18"/>
          <w:color w:val="auto"/>
        </w:rPr>
      </w:pPr>
    </w:p>
    <w:p>
      <w:pPr>
        <w:ind w:right="720" w:firstLine="987"/>
        <w:spacing w:after="0" w:line="282"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appoints the Trustee at its Corporate Trust Office as Registrar in connection with the Securities and this Indenture, until such time as another Person is appointed as such.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117" w:lineRule="exact"/>
        <w:rPr>
          <w:rFonts w:ascii="Times New Roman" w:cs="Times New Roman" w:eastAsia="Times New Roman" w:hAnsi="Times New Roman"/>
          <w:sz w:val="18"/>
          <w:szCs w:val="18"/>
          <w:color w:val="auto"/>
        </w:rPr>
      </w:pPr>
    </w:p>
    <w:p>
      <w:pPr>
        <w:ind w:left="440" w:firstLine="948"/>
        <w:spacing w:after="0" w:line="258" w:lineRule="auto"/>
        <w:tabs>
          <w:tab w:leader="none" w:pos="16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75" w:lineRule="exact"/>
        <w:rPr>
          <w:rFonts w:ascii="Times New Roman" w:cs="Times New Roman" w:eastAsia="Times New Roman" w:hAnsi="Times New Roman"/>
          <w:sz w:val="18"/>
          <w:szCs w:val="18"/>
          <w:color w:val="auto"/>
        </w:rPr>
      </w:pPr>
    </w:p>
    <w:p>
      <w:pPr>
        <w:ind w:left="440" w:right="40" w:firstLine="948"/>
        <w:spacing w:after="0" w:line="281" w:lineRule="auto"/>
        <w:tabs>
          <w:tab w:leader="none" w:pos="165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78" w:name="page79"/>
    <w:bookmarkEnd w:id="78"/>
    <w:p>
      <w:pPr>
        <w:ind w:left="1240" w:hanging="253"/>
        <w:spacing w:after="0"/>
        <w:tabs>
          <w:tab w:leader="none" w:pos="12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0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67" w:lineRule="exact"/>
        <w:rPr>
          <w:rFonts w:ascii="Times New Roman" w:cs="Times New Roman" w:eastAsia="Times New Roman" w:hAnsi="Times New Roman"/>
          <w:sz w:val="18"/>
          <w:szCs w:val="18"/>
          <w:color w:val="auto"/>
        </w:rPr>
      </w:pPr>
    </w:p>
    <w:p>
      <w:pPr>
        <w:ind w:left="440" w:right="200" w:firstLine="948"/>
        <w:spacing w:after="0" w:line="282" w:lineRule="auto"/>
        <w:tabs>
          <w:tab w:leader="none" w:pos="165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Securities are so surrendered for exchange, the Company shall execute, and the Trustee or Authenticating Agent shall authenticate and deliver, the Securities that the Holder making the exchange is entitled to receive.</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Global Securities for Individual Securities. Except as provided below, owners of beneficial interests in Global Securities will not be entitled to receive Individual Securities.</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Securities shall be issued to all owners of beneficial interests in a Global Security in exchange for such interests if:</w:t>
      </w:r>
    </w:p>
    <w:p>
      <w:pPr>
        <w:spacing w:after="0" w:line="27" w:lineRule="exact"/>
        <w:rPr>
          <w:rFonts w:ascii="Times New Roman" w:cs="Times New Roman" w:eastAsia="Times New Roman" w:hAnsi="Times New Roman"/>
          <w:sz w:val="18"/>
          <w:szCs w:val="18"/>
          <w:color w:val="auto"/>
        </w:rPr>
      </w:pPr>
    </w:p>
    <w:p>
      <w:pPr>
        <w:ind w:left="440" w:right="180" w:hanging="4"/>
        <w:spacing w:after="0" w:line="253" w:lineRule="auto"/>
        <w:tabs>
          <w:tab w:leader="none" w:pos="7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 Company Order stating that such Global Security shall be so exchangeable.</w:t>
      </w:r>
    </w:p>
    <w:p>
      <w:pPr>
        <w:spacing w:after="0" w:line="81" w:lineRule="exact"/>
        <w:rPr>
          <w:sz w:val="20"/>
          <w:szCs w:val="20"/>
          <w:color w:val="auto"/>
        </w:rPr>
      </w:pPr>
    </w:p>
    <w:p>
      <w:pPr>
        <w:ind w:left="440" w:right="160" w:firstLine="423"/>
        <w:spacing w:after="0" w:line="258" w:lineRule="auto"/>
        <w:rPr>
          <w:sz w:val="20"/>
          <w:szCs w:val="20"/>
          <w:color w:val="auto"/>
        </w:rPr>
      </w:pPr>
      <w:r>
        <w:rPr>
          <w:rFonts w:ascii="Times New Roman" w:cs="Times New Roman" w:eastAsia="Times New Roman" w:hAnsi="Times New Roman"/>
          <w:sz w:val="18"/>
          <w:szCs w:val="18"/>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75" w:lineRule="exact"/>
        <w:rPr>
          <w:sz w:val="20"/>
          <w:szCs w:val="20"/>
          <w:color w:val="auto"/>
        </w:rPr>
      </w:pPr>
    </w:p>
    <w:p>
      <w:pPr>
        <w:ind w:left="440" w:right="20" w:firstLine="948"/>
        <w:spacing w:after="0" w:line="258" w:lineRule="auto"/>
        <w:tabs>
          <w:tab w:leader="none" w:pos="1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75" w:lineRule="exact"/>
        <w:rPr>
          <w:rFonts w:ascii="Times New Roman" w:cs="Times New Roman" w:eastAsia="Times New Roman" w:hAnsi="Times New Roman"/>
          <w:sz w:val="18"/>
          <w:szCs w:val="18"/>
          <w:color w:val="auto"/>
        </w:rPr>
      </w:pPr>
    </w:p>
    <w:p>
      <w:pPr>
        <w:ind w:left="980" w:right="160" w:firstLine="1311"/>
        <w:spacing w:after="0" w:line="282" w:lineRule="auto"/>
        <w:tabs>
          <w:tab w:leader="none" w:pos="25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Custodian and Registrar shall notify the Company and the Trustee of such instructions, identifying the owner and amount of such beneficial interest in such Global Security;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79" w:name="page80"/>
    <w:bookmarkEnd w:id="79"/>
    <w:p>
      <w:pPr>
        <w:ind w:left="540" w:right="220" w:firstLine="1311"/>
        <w:spacing w:after="0" w:line="266" w:lineRule="auto"/>
        <w:tabs>
          <w:tab w:leader="none" w:pos="21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67" w:lineRule="exact"/>
        <w:rPr>
          <w:rFonts w:ascii="Times New Roman" w:cs="Times New Roman" w:eastAsia="Times New Roman" w:hAnsi="Times New Roman"/>
          <w:sz w:val="18"/>
          <w:szCs w:val="18"/>
          <w:color w:val="auto"/>
        </w:rPr>
      </w:pPr>
    </w:p>
    <w:p>
      <w:pPr>
        <w:ind w:left="540" w:firstLine="1311"/>
        <w:spacing w:after="0" w:line="256" w:lineRule="auto"/>
        <w:tabs>
          <w:tab w:leader="none" w:pos="21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spacing w:after="0" w:line="79" w:lineRule="exact"/>
        <w:rPr>
          <w:rFonts w:ascii="Times New Roman" w:cs="Times New Roman" w:eastAsia="Times New Roman" w:hAnsi="Times New Roman"/>
          <w:sz w:val="18"/>
          <w:szCs w:val="18"/>
          <w:color w:val="auto"/>
        </w:rPr>
      </w:pPr>
    </w:p>
    <w:p>
      <w:pPr>
        <w:ind w:right="120" w:firstLine="948"/>
        <w:spacing w:after="0" w:line="261" w:lineRule="auto"/>
        <w:tabs>
          <w:tab w:leader="none" w:pos="12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71" w:lineRule="exact"/>
        <w:rPr>
          <w:rFonts w:ascii="Times New Roman" w:cs="Times New Roman" w:eastAsia="Times New Roman" w:hAnsi="Times New Roman"/>
          <w:sz w:val="18"/>
          <w:szCs w:val="18"/>
          <w:color w:val="auto"/>
        </w:rPr>
      </w:pPr>
    </w:p>
    <w:p>
      <w:pPr>
        <w:ind w:left="540" w:right="380" w:firstLine="1311"/>
        <w:spacing w:after="0" w:line="266" w:lineRule="auto"/>
        <w:tabs>
          <w:tab w:leader="none" w:pos="21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67" w:lineRule="exact"/>
        <w:rPr>
          <w:rFonts w:ascii="Times New Roman" w:cs="Times New Roman" w:eastAsia="Times New Roman" w:hAnsi="Times New Roman"/>
          <w:sz w:val="18"/>
          <w:szCs w:val="18"/>
          <w:color w:val="auto"/>
        </w:rPr>
      </w:pPr>
    </w:p>
    <w:p>
      <w:pPr>
        <w:ind w:left="540" w:right="300" w:firstLine="1311"/>
        <w:spacing w:after="0" w:line="312" w:lineRule="auto"/>
        <w:tabs>
          <w:tab w:leader="none" w:pos="212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31" w:lineRule="exact"/>
        <w:rPr>
          <w:rFonts w:ascii="Times New Roman" w:cs="Times New Roman" w:eastAsia="Times New Roman" w:hAnsi="Times New Roman"/>
          <w:sz w:val="17"/>
          <w:szCs w:val="17"/>
          <w:color w:val="auto"/>
        </w:rPr>
      </w:pPr>
    </w:p>
    <w:p>
      <w:pPr>
        <w:ind w:right="100" w:firstLine="948"/>
        <w:spacing w:after="0" w:line="282" w:lineRule="auto"/>
        <w:tabs>
          <w:tab w:leader="none" w:pos="12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exchange provided for in clauses (i) through (iii), the Company will execute and the Trustee will authenticate and deliver Individual Securities in registered form in authorized denominations.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80" w:name="page81"/>
    <w:bookmarkEnd w:id="80"/>
    <w:p>
      <w:pPr>
        <w:ind w:left="440" w:right="220" w:firstLine="948"/>
        <w:spacing w:after="0" w:line="261" w:lineRule="auto"/>
        <w:tabs>
          <w:tab w:leader="none" w:pos="164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79" w:lineRule="exact"/>
        <w:rPr>
          <w:rFonts w:ascii="Times New Roman" w:cs="Times New Roman" w:eastAsia="Times New Roman" w:hAnsi="Times New Roman"/>
          <w:sz w:val="18"/>
          <w:szCs w:val="18"/>
          <w:color w:val="auto"/>
        </w:rPr>
      </w:pPr>
    </w:p>
    <w:p>
      <w:pPr>
        <w:ind w:right="180" w:firstLine="987"/>
        <w:spacing w:after="0" w:line="312" w:lineRule="auto"/>
        <w:tabs>
          <w:tab w:leader="none" w:pos="124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39" w:lineRule="exact"/>
        <w:rPr>
          <w:rFonts w:ascii="Times New Roman" w:cs="Times New Roman" w:eastAsia="Times New Roman" w:hAnsi="Times New Roman"/>
          <w:sz w:val="17"/>
          <w:szCs w:val="17"/>
          <w:color w:val="auto"/>
        </w:rPr>
      </w:pPr>
    </w:p>
    <w:p>
      <w:pPr>
        <w:ind w:right="20" w:firstLine="987"/>
        <w:spacing w:after="0" w:line="266"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175" w:lineRule="exact"/>
        <w:rPr>
          <w:rFonts w:ascii="Times New Roman" w:cs="Times New Roman" w:eastAsia="Times New Roman" w:hAnsi="Times New Roman"/>
          <w:sz w:val="18"/>
          <w:szCs w:val="18"/>
          <w:color w:val="auto"/>
        </w:rPr>
      </w:pPr>
    </w:p>
    <w:p>
      <w:pPr>
        <w:ind w:right="200" w:firstLine="987"/>
        <w:spacing w:after="0" w:line="261" w:lineRule="auto"/>
        <w:tabs>
          <w:tab w:leader="none" w:pos="12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79"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4.02 and ending at the close of business on the day of such transmission, or (ii) register, transfer or exchange any Security so selected for redemption in whole or in part, except the unredeemed portion of any Security being redeemed in part.</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 successor Company (“Successor Company”) has executed an indenture supplemental hereto with the Trustee pursuant to Section 6.04, any of the Securities previously authenticated or delivered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81" w:name="page82"/>
    <w:bookmarkEnd w:id="81"/>
    <w:p>
      <w:pPr>
        <w:jc w:val="both"/>
        <w:ind w:right="40" w:firstLine="987"/>
        <w:spacing w:after="0" w:line="261" w:lineRule="auto"/>
        <w:tabs>
          <w:tab w:leader="none" w:pos="12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agent of the Trustee shall have any responsibility for any actions taken or not taken by the Depositary.</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due presentation for registration of transfer or exchange of any Security, the Company, the Trustee, the Paying Agent, the 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or any of their agents shall be affected by any notice to the contrary.</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purchase)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82" w:name="page83"/>
    <w:bookmarkEnd w:id="82"/>
    <w:p>
      <w:pPr>
        <w:ind w:right="240" w:firstLine="987"/>
        <w:spacing w:after="0" w:line="282"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161"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175"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5"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Payment of Interest; Interest Rights Preserved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67" w:lineRule="exact"/>
        <w:rPr>
          <w:rFonts w:ascii="Times New Roman" w:cs="Times New Roman" w:eastAsia="Times New Roman" w:hAnsi="Times New Roman"/>
          <w:sz w:val="18"/>
          <w:szCs w:val="18"/>
          <w:color w:val="auto"/>
        </w:rPr>
      </w:pPr>
    </w:p>
    <w:p>
      <w:pPr>
        <w:ind w:left="440" w:firstLine="948"/>
        <w:spacing w:after="0" w:line="256" w:lineRule="auto"/>
        <w:tabs>
          <w:tab w:leader="none" w:pos="16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83" w:name="page84"/>
    <w:bookmarkEnd w:id="83"/>
    <w:p>
      <w:pPr>
        <w:ind w:left="440"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65" w:lineRule="exact"/>
        <w:rPr>
          <w:sz w:val="20"/>
          <w:szCs w:val="20"/>
          <w:color w:val="auto"/>
        </w:rPr>
      </w:pPr>
    </w:p>
    <w:p>
      <w:pPr>
        <w:jc w:val="both"/>
        <w:ind w:left="440" w:right="240" w:firstLine="948"/>
        <w:spacing w:after="0" w:line="261" w:lineRule="auto"/>
        <w:tabs>
          <w:tab w:leader="none" w:pos="165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in its sole discretion.</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84" w:name="page85"/>
    <w:bookmarkEnd w:id="84"/>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pursuant to Section 3.01 for Securities of any series, interest on the Securities of each series shall be computed on the basis of a 360-day year of twelve 30-day months.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Currency of Payments in Respect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87"/>
        <w:spacing w:after="0" w:line="282"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pursuant to Section 3.01 for Securities of any series, payment of the principal of and premium, if any, and interest on Securities of such series will be made in U.S. Dollars.</w:t>
      </w:r>
    </w:p>
    <w:p>
      <w:pPr>
        <w:spacing w:after="0" w:line="161"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188" w:lineRule="exact"/>
        <w:rPr>
          <w:rFonts w:ascii="Times New Roman" w:cs="Times New Roman" w:eastAsia="Times New Roman" w:hAnsi="Times New Roman"/>
          <w:sz w:val="18"/>
          <w:szCs w:val="18"/>
          <w:color w:val="auto"/>
        </w:rPr>
      </w:pPr>
    </w:p>
    <w:p>
      <w:pPr>
        <w:ind w:right="160" w:firstLine="987"/>
        <w:spacing w:after="0" w:line="258"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85" w:name="page86"/>
    <w:bookmarkEnd w:id="85"/>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OF SECURITIES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Applicability of Right of Redemption</w:t>
      </w:r>
      <w:r>
        <w:rPr>
          <w:rFonts w:ascii="Times New Roman" w:cs="Times New Roman" w:eastAsia="Times New Roman" w:hAnsi="Times New Roman"/>
          <w:sz w:val="18"/>
          <w:szCs w:val="18"/>
          <w:color w:val="auto"/>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at any time elect to redeem all or any portion of the Securities of a series then Outstanding, it shall at least 10 days prior to the Redemption Date fixed by the Company (unless a shorter period shall be satisfactory to the Trustee) notify the Trustee of such Redemption Date and of the principal amount of Securities to be redeemed, and thereupon the Trustee shall select by lot, and, in the case of Global Securities, in accordance with the procedures of the Depositary,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191"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shall be given by the Company or, at the Company’s request, by the Trustee in the name and at the expense of the Company, not less than 10 nor more than 60 days prior to the Redemption Date,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87"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of redemption shall identify the Securities to be redeemed (including CUSIP, ISIN or other similar numbers, if available along with the statement in Section 3.13) and shall state:</w:t>
      </w:r>
    </w:p>
    <w:p>
      <w:pPr>
        <w:spacing w:after="0" w:line="53"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amounts) of the Securities of such series to be redeemed;</w:t>
      </w:r>
    </w:p>
    <w:p>
      <w:pPr>
        <w:spacing w:after="0" w:line="53"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4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that, if applicable, interest thereon shall cease to accrue on and after said date;</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are to be surrendered for payment of the Redemption Price; and</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Prior to 11:00 a.m., New York City time, on the Business Day prior to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87" w:name="page88"/>
    <w:bookmarkEnd w:id="8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4.05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thereof and premium, if any, thereon shall, until paid, bear interest from the Redemption Date at the rate borne by or prescribed in such Securities.</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Security that is to be redeemed only in part shall be surrendered to the Trustee or such other office or agency of the Company as is specified in the notice of redemption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SINKING FUNDS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Applicability of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Article IV for Securities of such series, provided, however, that if any such terms of a series of Securities shall conflict with any provision of this Article, the terms of such series shall govern.</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88" w:name="page89"/>
    <w:bookmarkEnd w:id="88"/>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Mandatory Sinking Fund Obligation</w:t>
      </w:r>
      <w:r>
        <w:rPr>
          <w:rFonts w:ascii="Times New Roman" w:cs="Times New Roman" w:eastAsia="Times New Roman" w:hAnsi="Times New Roman"/>
          <w:sz w:val="18"/>
          <w:szCs w:val="18"/>
          <w:color w:val="auto"/>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Article IV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Optional Redemption at Sinking Fund Redemption Price</w:t>
      </w:r>
      <w:r>
        <w:rPr>
          <w:rFonts w:ascii="Times New Roman" w:cs="Times New Roman" w:eastAsia="Times New Roman" w:hAnsi="Times New Roman"/>
          <w:sz w:val="18"/>
          <w:szCs w:val="18"/>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Application of Sinking Fund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89" w:name="page90"/>
    <w:bookmarkEnd w:id="89"/>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name of the Company, thereupon cause notice of redemption, prepared by the Company,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189" w:lineRule="exact"/>
        <w:rPr>
          <w:sz w:val="20"/>
          <w:szCs w:val="20"/>
          <w:color w:val="auto"/>
        </w:rPr>
      </w:pPr>
    </w:p>
    <w:p>
      <w:pPr>
        <w:ind w:right="440" w:firstLine="987"/>
        <w:spacing w:after="0" w:line="28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PARTICULAR COVENANTS OF THE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covenants and agrees as follows:</w:t>
      </w:r>
    </w:p>
    <w:p>
      <w:pPr>
        <w:spacing w:after="0" w:line="11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Payments of Securities</w:t>
      </w:r>
      <w:r>
        <w:rPr>
          <w:rFonts w:ascii="Times New Roman" w:cs="Times New Roman" w:eastAsia="Times New Roman" w:hAnsi="Times New Roman"/>
          <w:sz w:val="18"/>
          <w:szCs w:val="18"/>
          <w:color w:val="auto"/>
        </w:rPr>
        <w:t>. The Company will duly and punctually pay the principal of and premium, if any, on each series of Securities, and the interest which shall have accrued thereon, at the dates and place and in the manner provided in the Securities and in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5"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in each Place of Payment for any series of Securities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(but not service of process) may be made to the Trustee, and the Company hereby appoints the Trustee as Paying Agent to receive all presentations, surrenders, notices and demands.</w:t>
      </w:r>
    </w:p>
    <w:p>
      <w:pPr>
        <w:spacing w:after="0" w:line="188"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To Hold Payment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188"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and at the time have, a Paying Agent for the payment of the principal of and premium, if any, or interest on any series of Securities, then prior to 11:00 a.m., New York City time, on the Business Day prior to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91" w:name="page92"/>
    <w:bookmarkEnd w:id="91"/>
    <w:p>
      <w:pPr>
        <w:ind w:right="60" w:firstLine="987"/>
        <w:spacing w:after="0" w:line="282"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53" w:lineRule="exact"/>
        <w:rPr>
          <w:rFonts w:ascii="Times New Roman" w:cs="Times New Roman" w:eastAsia="Times New Roman" w:hAnsi="Times New Roman"/>
          <w:sz w:val="18"/>
          <w:szCs w:val="18"/>
          <w:color w:val="auto"/>
        </w:rPr>
      </w:pPr>
    </w:p>
    <w:p>
      <w:pPr>
        <w:jc w:val="both"/>
        <w:ind w:left="440" w:right="260" w:firstLine="948"/>
        <w:spacing w:after="0" w:line="312" w:lineRule="auto"/>
        <w:tabs>
          <w:tab w:leader="none" w:pos="160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31" w:lineRule="exact"/>
        <w:rPr>
          <w:rFonts w:ascii="Times New Roman" w:cs="Times New Roman" w:eastAsia="Times New Roman" w:hAnsi="Times New Roman"/>
          <w:sz w:val="17"/>
          <w:szCs w:val="17"/>
          <w:color w:val="auto"/>
        </w:rPr>
      </w:pPr>
    </w:p>
    <w:p>
      <w:pPr>
        <w:ind w:left="440" w:right="100" w:firstLine="948"/>
        <w:spacing w:after="0" w:line="282" w:lineRule="auto"/>
        <w:tabs>
          <w:tab w:leader="none" w:pos="16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to the Trustee notice of any Default by the Company or any other obligor upon the Securities of that series in the making of any payment of the principal of and premium, if any, or interest on the Securities of that series; and</w:t>
      </w:r>
    </w:p>
    <w:p>
      <w:pPr>
        <w:spacing w:after="0" w:line="53" w:lineRule="exact"/>
        <w:rPr>
          <w:rFonts w:ascii="Times New Roman" w:cs="Times New Roman" w:eastAsia="Times New Roman" w:hAnsi="Times New Roman"/>
          <w:sz w:val="18"/>
          <w:szCs w:val="18"/>
          <w:color w:val="auto"/>
        </w:rPr>
      </w:pPr>
    </w:p>
    <w:p>
      <w:pPr>
        <w:ind w:left="440" w:right="260" w:firstLine="948"/>
        <w:spacing w:after="0" w:line="282" w:lineRule="auto"/>
        <w:tabs>
          <w:tab w:leader="none" w:pos="170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pay to the Trustee all sums so held in trust by such Paying Agent.</w:t>
      </w:r>
    </w:p>
    <w:p>
      <w:pPr>
        <w:spacing w:after="0" w:line="161"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Merger, Consolidation and Sale of Assets</w:t>
      </w:r>
      <w:r>
        <w:rPr>
          <w:rFonts w:ascii="Times New Roman" w:cs="Times New Roman" w:eastAsia="Times New Roman" w:hAnsi="Times New Roman"/>
          <w:sz w:val="18"/>
          <w:szCs w:val="18"/>
          <w:color w:val="auto"/>
        </w:rPr>
        <w:t>. Except as otherwise provided as contemplated by Section 3.01 with respect to any series of Securities:</w:t>
      </w:r>
    </w:p>
    <w:p>
      <w:pPr>
        <w:spacing w:after="0" w:line="54" w:lineRule="exact"/>
        <w:rPr>
          <w:sz w:val="20"/>
          <w:szCs w:val="20"/>
          <w:color w:val="auto"/>
        </w:rPr>
      </w:pPr>
    </w:p>
    <w:p>
      <w:pPr>
        <w:ind w:right="220" w:firstLine="987"/>
        <w:spacing w:after="0" w:line="258"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consolidate with any other entity or permit a merger of any other entity into the Company or permit the Company to be merged into any other entity, or sell, convey, transfer or lease all or substantially all its assets to another entity, unless (i) either the Company shall be the continuing entity, or the successor, transferee or lessee entity (if other than the Company) shall be organized and existing under the laws of Mexico, the United States of America, any State thereof or the District of Columbia, Canada, the United Kingdom, Switzerland Spain, the Netherlands, France, or any other country that is a member country of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92" w:name="page93"/>
    <w:bookmarkEnd w:id="92"/>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European Union or of the OECD or any political subdivision thereof and expressly assume, by indenture supplemental hereto, executed and delivered by such entity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w:t>
      </w:r>
    </w:p>
    <w:p>
      <w:pPr>
        <w:spacing w:after="0" w:line="3" w:lineRule="exact"/>
        <w:rPr>
          <w:sz w:val="20"/>
          <w:szCs w:val="20"/>
          <w:color w:val="auto"/>
        </w:rPr>
      </w:pPr>
    </w:p>
    <w:p>
      <w:pPr>
        <w:ind w:left="4" w:right="200" w:hanging="4"/>
        <w:spacing w:after="0" w:line="260"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consolidation, merger, sale, conveyance, transfer or lease the Company or the successor, transferee or lessee entity (if other than the Company) would not be in Default in the performance of any covenant or condition of this Indenture.</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consolidation with or merger into any other entity, or any sale, conveyance or transfer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192"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Except as otherwise provided as contemplated by Section 3.01 with respect to any series of Securities, the Company shall furnish to the Trustee annually, within 120 days after the end of each fiscal year, a brief certificate from an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spacing w:after="0" w:line="18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Conditional Waiver by Holders of Securities</w:t>
      </w:r>
      <w:r>
        <w:rPr>
          <w:rFonts w:ascii="Times New Roman" w:cs="Times New Roman" w:eastAsia="Times New Roman" w:hAnsi="Times New Roman"/>
          <w:sz w:val="18"/>
          <w:szCs w:val="18"/>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93" w:name="page94"/>
    <w:bookmarkEnd w:id="9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180"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6.07 </w:t>
      </w:r>
      <w:r>
        <w:rPr>
          <w:rFonts w:ascii="Times New Roman" w:cs="Times New Roman" w:eastAsia="Times New Roman" w:hAnsi="Times New Roman"/>
          <w:sz w:val="17"/>
          <w:szCs w:val="17"/>
          <w:u w:val="single" w:color="auto"/>
          <w:color w:val="auto"/>
        </w:rPr>
        <w:t>Statement by Officers as to Default</w:t>
      </w:r>
      <w:r>
        <w:rPr>
          <w:rFonts w:ascii="Times New Roman" w:cs="Times New Roman" w:eastAsia="Times New Roman" w:hAnsi="Times New Roman"/>
          <w:sz w:val="17"/>
          <w:szCs w:val="17"/>
          <w:color w:val="auto"/>
        </w:rPr>
        <w:t>. The Company shall deliver to the Trustee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REMEDIES OF TRUSTEE AND SECURITYHOLDERS</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spacing w:after="0" w:line="68" w:lineRule="exact"/>
        <w:rPr>
          <w:sz w:val="20"/>
          <w:szCs w:val="20"/>
          <w:color w:val="auto"/>
        </w:rPr>
      </w:pPr>
    </w:p>
    <w:p>
      <w:pPr>
        <w:ind w:right="620" w:firstLine="987"/>
        <w:spacing w:after="0" w:line="282"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any installment of interest on any Security of such series when and as the same shall become payable, which failure shall have continued unremedied for a period of 30 days;</w:t>
      </w:r>
    </w:p>
    <w:p>
      <w:pPr>
        <w:spacing w:after="0" w:line="161"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w:t>
      </w:r>
    </w:p>
    <w:p>
      <w:pPr>
        <w:spacing w:after="0" w:line="175"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 sinking fund installment, if any, when and as the same shall become payable by the terms of a Security of such series, which failure shall have continued unremedied for a period of 30 days;</w:t>
      </w:r>
    </w:p>
    <w:p>
      <w:pPr>
        <w:spacing w:after="0" w:line="161"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subject to the provisions of Section 6.06, to perform any covenants or satisfy any conditions contained in this Indenture (or the terms of the Securities of such series or a supplemental indenture establishing such series) (other than a covenant or condition which has been expressly included in this Indenture solely for the benefit of a series of Securities other than that series and other than a covenant or condition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94" w:name="page95"/>
    <w:bookmarkEnd w:id="94"/>
    <w:p>
      <w:pPr>
        <w:ind w:right="100" w:firstLine="987"/>
        <w:spacing w:after="0" w:line="258"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entry by a court having jurisdiction in the premises of a decree or order for relief in respect of the Company in an involuntary case under the federal bankruptcy laws, as now or hereafter constituted, or any other applicable federal or state bankruptcy, insolvency,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reorganization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commencement by the Company of a voluntary case under the federal bankruptcy laws, as now or hereafter constituted, or any other applicable federal or state bankruptcy, insolvency,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reorganization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of Default with respect to Securities of such series as provided in Section 3.01;</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provided, however, that no event described in clause (d) or (other than with respect to a payment default) (g) above shall constitute an Event of Default hereunder until the Trustee or the Holders of 25% or more in aggregate principal amount of the Securities of such series then Outstanding, notify the Company (and the Trustee in case of notice by the Holders) of the Default, specifying the Default, requiring the Company to remedy the same and stating that such notice is a “Notice of Default” hereunder.</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95" w:name="page96"/>
    <w:bookmarkEnd w:id="95"/>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Acceleration;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987"/>
        <w:spacing w:after="0" w:line="253" w:lineRule="auto"/>
        <w:tabs>
          <w:tab w:leader="none" w:pos="11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the last paragraph of Section 7.01 and except as otherwise provided pursuant to Section 3.01), all obligations of the Company in respect of the payment of principal of and interest on the Securities of such series shall terminate.</w:t>
      </w:r>
    </w:p>
    <w:p>
      <w:pPr>
        <w:spacing w:after="0" w:line="187" w:lineRule="exact"/>
        <w:rPr>
          <w:rFonts w:ascii="Times New Roman" w:cs="Times New Roman" w:eastAsia="Times New Roman" w:hAnsi="Times New Roman"/>
          <w:sz w:val="18"/>
          <w:szCs w:val="18"/>
          <w:color w:val="auto"/>
        </w:rPr>
      </w:pPr>
    </w:p>
    <w:p>
      <w:pPr>
        <w:ind w:left="-40" w:firstLine="987"/>
        <w:spacing w:after="0" w:line="258" w:lineRule="auto"/>
        <w:tabs>
          <w:tab w:leader="none" w:pos="12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7.02(a),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annul such acceleration if:</w:t>
      </w:r>
    </w:p>
    <w:p>
      <w:pPr>
        <w:spacing w:after="0" w:line="75" w:lineRule="exact"/>
        <w:rPr>
          <w:rFonts w:ascii="Times New Roman" w:cs="Times New Roman" w:eastAsia="Times New Roman" w:hAnsi="Times New Roman"/>
          <w:sz w:val="18"/>
          <w:szCs w:val="18"/>
          <w:color w:val="auto"/>
        </w:rPr>
      </w:pPr>
    </w:p>
    <w:p>
      <w:pPr>
        <w:ind w:left="400" w:right="700" w:firstLine="948"/>
        <w:spacing w:after="0" w:line="312" w:lineRule="auto"/>
        <w:tabs>
          <w:tab w:leader="none" w:pos="156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paid or deposited with the Trustee or Paying Agent a sum in the Currency in which such Securities are denominated (subject to the last paragraph of Section 7.01 and except as otherwise provided pursuant to Section 3.01) sufficient to pay:</w:t>
      </w:r>
    </w:p>
    <w:p>
      <w:pPr>
        <w:spacing w:after="0" w:line="31" w:lineRule="exact"/>
        <w:rPr>
          <w:rFonts w:ascii="Times New Roman" w:cs="Times New Roman" w:eastAsia="Times New Roman" w:hAnsi="Times New Roman"/>
          <w:sz w:val="17"/>
          <w:szCs w:val="17"/>
          <w:color w:val="auto"/>
        </w:rPr>
      </w:pPr>
    </w:p>
    <w:p>
      <w:pPr>
        <w:ind w:left="940" w:right="240" w:firstLine="1311"/>
        <w:spacing w:after="0" w:line="282" w:lineRule="auto"/>
        <w:tabs>
          <w:tab w:leader="none" w:pos="2538"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owing the Trustee and any predecessor trustee hereunder under Section 11.01(a) (provided, however, that all sums payable under this clause (A) shall be paid in U.S. Dollars);</w:t>
      </w:r>
    </w:p>
    <w:p>
      <w:pPr>
        <w:spacing w:after="0" w:line="53" w:lineRule="exact"/>
        <w:rPr>
          <w:rFonts w:ascii="Times New Roman" w:cs="Times New Roman" w:eastAsia="Times New Roman" w:hAnsi="Times New Roman"/>
          <w:sz w:val="18"/>
          <w:szCs w:val="18"/>
          <w:color w:val="auto"/>
        </w:rPr>
      </w:pPr>
    </w:p>
    <w:p>
      <w:pPr>
        <w:jc w:val="both"/>
        <w:ind w:left="940" w:right="200" w:firstLine="1311"/>
        <w:spacing w:after="0" w:line="266" w:lineRule="auto"/>
        <w:tabs>
          <w:tab w:leader="none" w:pos="2528"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and unpaid interest, if any, upon all the Securities of such series with interest thereon to the extent that interest thereon shall be legally enforceable, on any overdue installment of interest at the rate borne by or prescribed in such Securities;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480" w:top="270" w:right="499" w:bottom="1440" w:gutter="0" w:footer="0" w:header="0"/>
        </w:sectPr>
      </w:pPr>
    </w:p>
    <w:bookmarkStart w:id="96" w:name="page97"/>
    <w:bookmarkEnd w:id="96"/>
    <w:p>
      <w:pPr>
        <w:ind w:left="980" w:right="300" w:firstLine="1311"/>
        <w:spacing w:after="0" w:line="266" w:lineRule="auto"/>
        <w:tabs>
          <w:tab w:leader="none" w:pos="2568"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spacing w:after="0" w:line="67"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Default and Event of Default with respect to Securities of that series, other than the non-payment of the principal of Securities of that series which have become due solely by such acceleration, have been cured or waived as provided in Section 7.06.</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If the Company shall fail for a period of 30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spacing w:after="0" w:line="192"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97" w:name="page98"/>
    <w:bookmarkEnd w:id="97"/>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80"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7.04 </w:t>
      </w:r>
      <w:r>
        <w:rPr>
          <w:rFonts w:ascii="Times New Roman" w:cs="Times New Roman" w:eastAsia="Times New Roman" w:hAnsi="Times New Roman"/>
          <w:sz w:val="17"/>
          <w:szCs w:val="17"/>
          <w:u w:val="single" w:color="auto"/>
          <w:color w:val="auto"/>
        </w:rPr>
        <w:t>Trustee as Attorney-in-Fact</w:t>
      </w:r>
      <w:r>
        <w:rPr>
          <w:rFonts w:ascii="Times New Roman" w:cs="Times New Roman" w:eastAsia="Times New Roman" w:hAnsi="Times New Roman"/>
          <w:sz w:val="17"/>
          <w:szCs w:val="17"/>
          <w:color w:val="auto"/>
        </w:rPr>
        <w:t xml:space="preserve">.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w:t>
      </w:r>
      <w:r>
        <w:rPr>
          <w:rFonts w:ascii="Times New Roman" w:cs="Times New Roman" w:eastAsia="Times New Roman" w:hAnsi="Times New Roman"/>
          <w:sz w:val="17"/>
          <w:szCs w:val="17"/>
          <w:i w:val="1"/>
          <w:iCs w:val="1"/>
          <w:color w:val="auto"/>
        </w:rPr>
        <w:t>concurso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mercantil</w:t>
      </w:r>
      <w:r>
        <w:rPr>
          <w:rFonts w:ascii="Times New Roman" w:cs="Times New Roman" w:eastAsia="Times New Roman" w:hAnsi="Times New Roman"/>
          <w:sz w:val="17"/>
          <w:szCs w:val="17"/>
          <w:color w:val="auto"/>
        </w:rPr>
        <w:t>, reorganization or other judicial proceeding relative to the Company or any other obligor upon the Securities or to their respective creditors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179"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First: To the payment of all amounts due to the Trustee and any predecessor trustee hereunder under Section 11.01(a).</w:t>
      </w:r>
    </w:p>
    <w:p>
      <w:pPr>
        <w:spacing w:after="0" w:line="117"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surplus then remaining shall be paid to the Company or as directed by a court of competent jurisdiction.</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Control by Securityholders; Waiver of Past Defaults</w:t>
      </w:r>
      <w:r>
        <w:rPr>
          <w:rFonts w:ascii="Times New Roman" w:cs="Times New Roman" w:eastAsia="Times New Roman" w:hAnsi="Times New Roman"/>
          <w:sz w:val="18"/>
          <w:szCs w:val="18"/>
          <w:color w:val="auto"/>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continuing Default in the payment of interest or any premium on or the principal of the Securities of such series and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for such waiver.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19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to the Trustee security and indemnity reasonably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19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CONCERNING THE SECURITYHOLDERS</w:t>
      </w:r>
    </w:p>
    <w:p>
      <w:pPr>
        <w:spacing w:after="0" w:line="229"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Evidence of Action of Securityholders</w:t>
      </w:r>
      <w:r>
        <w:rPr>
          <w:rFonts w:ascii="Times New Roman" w:cs="Times New Roman" w:eastAsia="Times New Roman" w:hAnsi="Times New Roman"/>
          <w:sz w:val="18"/>
          <w:szCs w:val="18"/>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188"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Proof of Execution or Holding of Securities</w:t>
      </w:r>
      <w:r>
        <w:rPr>
          <w:rFonts w:ascii="Times New Roman" w:cs="Times New Roman" w:eastAsia="Times New Roman" w:hAnsi="Times New Roman"/>
          <w:sz w:val="18"/>
          <w:szCs w:val="18"/>
          <w:color w:val="auto"/>
        </w:rPr>
        <w:t>. Proof of the execution of any instrument by a Securityholder or his, her or its agent or proxy and proof of the holding by any Person of any of the Securities shall be sufficient if made in the following manner:</w:t>
      </w:r>
    </w:p>
    <w:p>
      <w:pPr>
        <w:spacing w:after="0" w:line="54" w:lineRule="exact"/>
        <w:rPr>
          <w:sz w:val="20"/>
          <w:szCs w:val="20"/>
          <w:color w:val="auto"/>
        </w:rPr>
      </w:pPr>
    </w:p>
    <w:p>
      <w:pPr>
        <w:ind w:firstLine="987"/>
        <w:spacing w:after="0" w:line="258"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of any series shall be proved by the Register of such Securities or by a certificate of the Registrar for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of any Holders’ meeting shall be proved in the manner provided in Section 9.06.</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require such additional proof of any matter referred to in this Section 8.02 as it shall deem appropriate or necessary, so long as the request is a reasonable one.</w:t>
      </w:r>
    </w:p>
    <w:p>
      <w:pPr>
        <w:spacing w:after="0" w:line="161" w:lineRule="exact"/>
        <w:rPr>
          <w:rFonts w:ascii="Times New Roman" w:cs="Times New Roman" w:eastAsia="Times New Roman" w:hAnsi="Times New Roman"/>
          <w:sz w:val="18"/>
          <w:szCs w:val="18"/>
          <w:color w:val="auto"/>
        </w:rPr>
      </w:pPr>
    </w:p>
    <w:p>
      <w:pPr>
        <w:ind w:right="120" w:firstLine="987"/>
        <w:spacing w:after="0" w:line="256"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Trustee or any of their agents shall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of their agents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83"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the Trustee, or any of their agents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Effect of Consents</w:t>
      </w:r>
      <w:r>
        <w:rPr>
          <w:rFonts w:ascii="Times New Roman" w:cs="Times New Roman" w:eastAsia="Times New Roman" w:hAnsi="Times New Roman"/>
          <w:sz w:val="18"/>
          <w:szCs w:val="18"/>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SECURITYHOLDERS’ MEETINGS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Purposes of Meetings</w:t>
      </w:r>
      <w:r>
        <w:rPr>
          <w:rFonts w:ascii="Times New Roman" w:cs="Times New Roman" w:eastAsia="Times New Roman" w:hAnsi="Times New Roman"/>
          <w:sz w:val="18"/>
          <w:szCs w:val="18"/>
          <w:color w:val="auto"/>
        </w:rPr>
        <w:t>. A meeting of Securityholders of any or all series may be called at any time and from time to time pursuant to the provisions of this Article IX for any of the following purposes:</w:t>
      </w:r>
    </w:p>
    <w:p>
      <w:pPr>
        <w:spacing w:after="0" w:line="54" w:lineRule="exact"/>
        <w:rPr>
          <w:sz w:val="20"/>
          <w:szCs w:val="20"/>
          <w:color w:val="auto"/>
        </w:rPr>
      </w:pPr>
    </w:p>
    <w:p>
      <w:pPr>
        <w:ind w:right="20" w:firstLine="987"/>
        <w:spacing w:after="0" w:line="266"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XI;</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of indentures supplemental hereto pursuant to the provisions of Section 14.02;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102" w:name="page103"/>
    <w:bookmarkEnd w:id="102"/>
    <w:p>
      <w:pPr>
        <w:ind w:right="540" w:firstLine="987"/>
        <w:spacing w:after="0" w:line="282"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6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9.02 </w:t>
      </w:r>
      <w:r>
        <w:rPr>
          <w:rFonts w:ascii="Times New Roman" w:cs="Times New Roman" w:eastAsia="Times New Roman" w:hAnsi="Times New Roman"/>
          <w:sz w:val="17"/>
          <w:szCs w:val="17"/>
          <w:u w:val="single" w:color="auto"/>
          <w:color w:val="auto"/>
        </w:rPr>
        <w:t>Call of Meetings by Trustee</w:t>
      </w:r>
      <w:r>
        <w:rPr>
          <w:rFonts w:ascii="Times New Roman" w:cs="Times New Roman" w:eastAsia="Times New Roman" w:hAnsi="Times New Roman"/>
          <w:sz w:val="17"/>
          <w:szCs w:val="17"/>
          <w:color w:val="auto"/>
        </w:rPr>
        <w:t>. The Trustee may at any time call a meeting of all Securityholders of any or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at the expense of the Company to Holders of Securities of such series at their addresses as they shall appear on the Register of the Company. Such notice shall be mailed not less than 20 nor more than 90 days prior to the date fixed for the meeting.</w:t>
      </w:r>
    </w:p>
    <w:p>
      <w:pPr>
        <w:spacing w:after="0" w:line="168"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Call of Meetings by Company or Securityholders</w:t>
      </w:r>
      <w:r>
        <w:rPr>
          <w:rFonts w:ascii="Times New Roman" w:cs="Times New Roman" w:eastAsia="Times New Roman" w:hAnsi="Times New Roman"/>
          <w:sz w:val="18"/>
          <w:szCs w:val="18"/>
          <w:color w:val="auto"/>
        </w:rPr>
        <w:t>. In case at any time the Company or the Holders of at least 10% in aggregate principal amount of the Securities of any or all series then Outstanding that may be affected by the action proposed to be taken, shall have requested the Trustee to call a meeting of Securityholders of such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Qualifications for Voting</w:t>
      </w:r>
      <w:r>
        <w:rPr>
          <w:rFonts w:ascii="Times New Roman" w:cs="Times New Roman" w:eastAsia="Times New Roman" w:hAnsi="Times New Roman"/>
          <w:sz w:val="18"/>
          <w:szCs w:val="18"/>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 Unless otherwise expressly provided pursuant to Section 3.01 with respect to the Securities of any series, any vote, consent, waiver or other action given or taken by the Holders of any series of Securities at a meeting shall be given or taken, as the case may be, by the Holders of such series of Securities as a separate class.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Regulation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03" w:name="page104"/>
    <w:bookmarkEnd w:id="103"/>
    <w:p>
      <w:pPr>
        <w:ind w:right="20" w:firstLine="987"/>
        <w:spacing w:after="0" w:line="253"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meeting of Securityholders of a series, each Securityholder of such series or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If the Securities of any series are issuable in minimum denominations of less than $1,000, then a Holder of such a Security in a principal amount of less than $1,000 shall be entitled to a fraction of one vote which is equal to the fraction that the principal amount of such Security bears to $1,000.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of any series duly called pursuant to the provisions of Section 9.02 or 9.03, the presence of Persons holding or representing Securities of such series in an aggregate principal amount sufficient to take action as it concerns the Securities of such series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No Delay of Rights by Meeting</w:t>
      </w:r>
      <w:r>
        <w:rPr>
          <w:rFonts w:ascii="Times New Roman" w:cs="Times New Roman" w:eastAsia="Times New Roman" w:hAnsi="Times New Roman"/>
          <w:sz w:val="18"/>
          <w:szCs w:val="18"/>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104" w:name="page105"/>
    <w:bookmarkEnd w:id="104"/>
    <w:p>
      <w:pPr>
        <w:ind w:left="5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11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u w:val="single" w:color="auto"/>
          <w:color w:val="auto"/>
        </w:rPr>
        <w:t>REPORTS BY THE COMPANY AND THE TRUSTEE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SECURITYHOLDERS’ LISTS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87"/>
        <w:spacing w:after="0" w:line="261"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Securities are outstanding, the Trustee shall transmit to Holders such reports concerning the Trustee and its actions under this Indenture as may be required pursuant to the Trust Indenture Act at the times and in the manner provided therein. If required by</w:t>
      </w: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313(a) of the Trust Indenture Act, the Trustee shall, within 60 days after each anniversary following the date of this Indenture deliver to Holders a brief report which complies with the provisions of such Section 313(a).</w:t>
      </w:r>
    </w:p>
    <w:p>
      <w:pPr>
        <w:spacing w:after="0" w:line="18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at the time of the transmission to the Holders of Securities of any report pursuant to the provisions of this</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w:t>
      </w:r>
    </w:p>
    <w:p>
      <w:pPr>
        <w:spacing w:after="0" w:line="186" w:lineRule="exact"/>
        <w:rPr>
          <w:sz w:val="20"/>
          <w:szCs w:val="20"/>
          <w:color w:val="auto"/>
        </w:rPr>
      </w:pPr>
    </w:p>
    <w:p>
      <w:pPr>
        <w:ind w:right="320" w:firstLine="987"/>
        <w:spacing w:after="0" w:line="282"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the Trustee for all expenses incurred in the preparation and transmission of any report pursuant to the provisions of this Section 10.01 and of Section 10.02.</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 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w:t>
      </w:r>
    </w:p>
    <w:p>
      <w:pPr>
        <w:spacing w:after="0" w:line="180"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Securityholders’ Lists</w:t>
      </w:r>
      <w:r>
        <w:rPr>
          <w:rFonts w:ascii="Times New Roman" w:cs="Times New Roman" w:eastAsia="Times New Roman" w:hAnsi="Times New Roman"/>
          <w:sz w:val="18"/>
          <w:szCs w:val="18"/>
          <w:color w:val="auto"/>
        </w:rPr>
        <w:t>. The Company covenants and agrees that it will furnish or cause to be furnished to the Trustee:</w:t>
      </w:r>
    </w:p>
    <w:p>
      <w:pPr>
        <w:spacing w:after="0" w:line="117" w:lineRule="exact"/>
        <w:rPr>
          <w:sz w:val="20"/>
          <w:szCs w:val="20"/>
          <w:color w:val="auto"/>
        </w:rPr>
      </w:pPr>
    </w:p>
    <w:p>
      <w:pPr>
        <w:jc w:val="both"/>
        <w:ind w:right="20" w:firstLine="987"/>
        <w:spacing w:after="0" w:line="312" w:lineRule="auto"/>
        <w:tabs>
          <w:tab w:leader="none" w:pos="12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66" w:right="479" w:bottom="1440" w:gutter="0" w:footer="0" w:header="0"/>
        </w:sectPr>
      </w:pPr>
    </w:p>
    <w:bookmarkStart w:id="105" w:name="page106"/>
    <w:bookmarkEnd w:id="105"/>
    <w:p>
      <w:pPr>
        <w:ind w:right="340" w:firstLine="987"/>
        <w:spacing w:after="0" w:line="282"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such other times as the Trustee may request in writing, within 30 days after receipt by the Company of any such request, a list of similar form and content as of a date not more than 15 days prior to the time such list is furnished;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 so long as the Trustee shall be the Registrar, such lists shall not be required to be furnished.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CONCERNING THE TRUSTEE</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Rights of Trustees; Compensation and Indemnity</w:t>
      </w:r>
      <w:r>
        <w:rPr>
          <w:rFonts w:ascii="Times New Roman" w:cs="Times New Roman" w:eastAsia="Times New Roman" w:hAnsi="Times New Roman"/>
          <w:sz w:val="18"/>
          <w:szCs w:val="18"/>
          <w:color w:val="auto"/>
        </w:rPr>
        <w:t>. The Trustee accepts the trusts created by this Indenture upon the terms and conditions hereof, including the following, to all of which the parties hereto and the Holders from time to time of the Securities agree:</w:t>
      </w:r>
    </w:p>
    <w:p>
      <w:pPr>
        <w:spacing w:after="0" w:line="54" w:lineRule="exact"/>
        <w:rPr>
          <w:sz w:val="20"/>
          <w:szCs w:val="20"/>
          <w:color w:val="auto"/>
        </w:rPr>
      </w:pPr>
    </w:p>
    <w:p>
      <w:pPr>
        <w:ind w:right="80" w:firstLine="987"/>
        <w:spacing w:after="0" w:line="256"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and documented out-of-pocket expenses, disbursements and advances incurred or made by the Trustee (including the reasonable fees and reasonable and documented expenses and disbursements of its agents and counsel), except any such expense, disbursement or advance as may be attributable to its own negligence, bad faith or willful misconduct.</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also agrees to indemnify each of the Trustee and any predecessor Trustee hereunder for, and to hold it harmless against, any and all loss, liability, charge, damage, claim, or expense incurred without its own negligence, bad faith or willful misconduct, arising out of or in connection with the acceptance or administration of the trust or trusts hereunder and the performance of its duties (including in any agent capacity in which it acts), as well as the reasonable and documented costs and expenses of defending itself against any claim or liability in connection with the exercise or performance of any of its powers or duties hereunder, except those attributable to its negligence, willful misconduct or bad faith. The Trustee shall notify the Company promptly of any claim for which it may seek indemnity; provided, however, that the failure of the Trustee to provide such notice shall not relieve the Company of its indemnification obligations hereunder unless such failure is materially prejudicial to the Company’s ability to defend against or mitigate such claim. The Company shall defend the claim and the Trustee shall cooperate in the defense. The Trustee may have one counsel of its selection and the Company shall pay the reasonable and documented fees and expenses of such counsel. The Company need not pay for any settlement made without its consent, which consent shall not be unreasonably withheld.</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As security for the performance of the obligations of the Company under this Section 11.01(a), the Trustee shall have a first lien upon all property and funds held or collected by the Trustee as such, except funds held in trust by the Trustee to pay principal of, premium and interest on any Securities. Notwithstanding any provisions of this Indenture to the contrary, the obligations of the Company to compensate and indemnify the Trustee under this Section 11.01(a)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106" w:name="page107"/>
    <w:bookmarkEnd w:id="106"/>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survive the resignation or removal of the Trustee, the termination of this Indenture and any satisfaction and discharge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spacing w:after="0" w:line="158" w:lineRule="exact"/>
        <w:rPr>
          <w:sz w:val="20"/>
          <w:szCs w:val="20"/>
          <w:color w:val="auto"/>
        </w:rPr>
      </w:pPr>
    </w:p>
    <w:p>
      <w:pPr>
        <w:ind w:right="360" w:firstLine="987"/>
        <w:spacing w:after="0" w:line="312" w:lineRule="auto"/>
        <w:tabs>
          <w:tab w:leader="none" w:pos="124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139" w:lineRule="exact"/>
        <w:rPr>
          <w:rFonts w:ascii="Times New Roman" w:cs="Times New Roman" w:eastAsia="Times New Roman" w:hAnsi="Times New Roman"/>
          <w:sz w:val="17"/>
          <w:szCs w:val="17"/>
          <w:color w:val="auto"/>
        </w:rPr>
      </w:pPr>
    </w:p>
    <w:p>
      <w:pPr>
        <w:ind w:firstLine="987"/>
        <w:spacing w:after="0" w:line="254"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191"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advice of counsel shall be full and complete authorization and protection in respect of any action taken or suffered by the Trustee hereunder in good faith and in accordance with such advice of counsel.</w:t>
      </w:r>
    </w:p>
    <w:p>
      <w:pPr>
        <w:spacing w:after="0" w:line="161"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conclusively rely upon, an Officer’s Certificate of the Company (unless other evidence in respect thereof be herein specifically prescribed).</w:t>
      </w:r>
    </w:p>
    <w:p>
      <w:pPr>
        <w:spacing w:after="0" w:line="183" w:lineRule="exact"/>
        <w:rPr>
          <w:rFonts w:ascii="Times New Roman" w:cs="Times New Roman" w:eastAsia="Times New Roman" w:hAnsi="Times New Roman"/>
          <w:sz w:val="18"/>
          <w:szCs w:val="18"/>
          <w:color w:val="auto"/>
        </w:rPr>
      </w:pPr>
    </w:p>
    <w:p>
      <w:pPr>
        <w:ind w:right="240" w:firstLine="987"/>
        <w:spacing w:after="0" w:line="266" w:lineRule="auto"/>
        <w:tabs>
          <w:tab w:leader="none" w:pos="12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held by the Trustee in trust hereunder need not be segregated from other funds except to the extent required by law. The Trustee shall be under no liability for interest on any money received by it 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107" w:name="page108"/>
    <w:bookmarkEnd w:id="107"/>
    <w:p>
      <w:pPr>
        <w:jc w:val="both"/>
        <w:ind w:left="-40" w:firstLine="987"/>
        <w:spacing w:after="0" w:line="261" w:lineRule="auto"/>
        <w:tabs>
          <w:tab w:leader="none" w:pos="12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79" w:lineRule="exact"/>
        <w:rPr>
          <w:rFonts w:ascii="Times New Roman" w:cs="Times New Roman" w:eastAsia="Times New Roman" w:hAnsi="Times New Roman"/>
          <w:sz w:val="18"/>
          <w:szCs w:val="18"/>
          <w:color w:val="auto"/>
        </w:rPr>
      </w:pPr>
    </w:p>
    <w:p>
      <w:pPr>
        <w:ind w:left="-40" w:right="40" w:firstLine="987"/>
        <w:spacing w:after="0" w:line="266" w:lineRule="auto"/>
        <w:tabs>
          <w:tab w:leader="none" w:pos="11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consent, order, direction, judgment, approval, bond, debenture or other paper or document reasonably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1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and if requested, provided to the Trustee security or indemnity reasonably satisfactory to the Trustee against the costs, expenses and liabilities which may be incurred by it therein or thereby.</w:t>
      </w:r>
    </w:p>
    <w:p>
      <w:pPr>
        <w:spacing w:after="0" w:line="179" w:lineRule="exact"/>
        <w:rPr>
          <w:rFonts w:ascii="Times New Roman" w:cs="Times New Roman" w:eastAsia="Times New Roman" w:hAnsi="Times New Roman"/>
          <w:sz w:val="18"/>
          <w:szCs w:val="18"/>
          <w:color w:val="auto"/>
        </w:rPr>
      </w:pPr>
    </w:p>
    <w:p>
      <w:pPr>
        <w:ind w:left="-40" w:right="500" w:firstLine="987"/>
        <w:spacing w:after="0" w:line="282" w:lineRule="auto"/>
        <w:tabs>
          <w:tab w:leader="none" w:pos="12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by it in good faith and believed by it to be authorized or within its discretion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left="-40" w:right="240" w:firstLine="987"/>
        <w:spacing w:after="0" w:line="266" w:lineRule="auto"/>
        <w:tabs>
          <w:tab w:leader="none" w:pos="11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or notice of any Default or Event of Default unless a Responsible Officer of the Trustee has received actual written notice thereof or unless the Company or Holders of not less than 25% of the Outstanding Securities notify the Trustee thereof.</w:t>
      </w:r>
    </w:p>
    <w:p>
      <w:pPr>
        <w:spacing w:after="0" w:line="175" w:lineRule="exact"/>
        <w:rPr>
          <w:rFonts w:ascii="Times New Roman" w:cs="Times New Roman" w:eastAsia="Times New Roman" w:hAnsi="Times New Roman"/>
          <w:sz w:val="18"/>
          <w:szCs w:val="18"/>
          <w:color w:val="auto"/>
        </w:rPr>
      </w:pPr>
    </w:p>
    <w:p>
      <w:pPr>
        <w:ind w:left="-40" w:right="40" w:firstLine="987"/>
        <w:spacing w:after="0" w:line="266" w:lineRule="auto"/>
        <w:tabs>
          <w:tab w:leader="none" w:pos="12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spacing w:after="0" w:line="175" w:lineRule="exact"/>
        <w:rPr>
          <w:rFonts w:ascii="Times New Roman" w:cs="Times New Roman" w:eastAsia="Times New Roman" w:hAnsi="Times New Roman"/>
          <w:sz w:val="18"/>
          <w:szCs w:val="18"/>
          <w:color w:val="auto"/>
        </w:rPr>
      </w:pPr>
    </w:p>
    <w:p>
      <w:pPr>
        <w:ind w:left="-40" w:right="800" w:firstLine="987"/>
        <w:spacing w:after="0" w:line="282" w:lineRule="auto"/>
        <w:tabs>
          <w:tab w:leader="none" w:pos="12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60" w:firstLine="987"/>
        <w:spacing w:after="0" w:line="261" w:lineRule="auto"/>
        <w:tabs>
          <w:tab w:leader="none" w:pos="11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20"/>
          </w:cols>
          <w:pgMar w:left="480" w:top="270" w:right="499" w:bottom="1440" w:gutter="0" w:footer="0" w:header="0"/>
        </w:sectPr>
      </w:pPr>
    </w:p>
    <w:bookmarkStart w:id="108" w:name="page109"/>
    <w:bookmarkEnd w:id="108"/>
    <w:p>
      <w:pPr>
        <w:ind w:right="60" w:firstLine="987"/>
        <w:spacing w:after="0" w:line="266"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provisions of this Indenture shall be construed as relieving the Trustee from liability for its own negligent action, negligent failure to act, bad faith or its own willful misconduct in acting or failing to act, except that, anything in this Indenture contained to the contrary notwithstanding,</w:t>
      </w:r>
    </w:p>
    <w:p>
      <w:pPr>
        <w:spacing w:after="0" w:line="67"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60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an Event of Default specified in Section 7.01 with respect to the Securities of any series shall have happened which at the time is continuing,</w:t>
      </w:r>
    </w:p>
    <w:p>
      <w:pPr>
        <w:spacing w:after="0" w:line="53" w:lineRule="exact"/>
        <w:rPr>
          <w:rFonts w:ascii="Times New Roman" w:cs="Times New Roman" w:eastAsia="Times New Roman" w:hAnsi="Times New Roman"/>
          <w:sz w:val="18"/>
          <w:szCs w:val="18"/>
          <w:color w:val="auto"/>
        </w:rPr>
      </w:pPr>
    </w:p>
    <w:p>
      <w:pPr>
        <w:ind w:left="980" w:right="80" w:firstLine="1311"/>
        <w:spacing w:after="0" w:line="266" w:lineRule="auto"/>
        <w:tabs>
          <w:tab w:leader="none" w:pos="2578"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67" w:lineRule="exact"/>
        <w:rPr>
          <w:rFonts w:ascii="Times New Roman" w:cs="Times New Roman" w:eastAsia="Times New Roman" w:hAnsi="Times New Roman"/>
          <w:sz w:val="18"/>
          <w:szCs w:val="18"/>
          <w:color w:val="auto"/>
        </w:rPr>
      </w:pPr>
    </w:p>
    <w:p>
      <w:pPr>
        <w:ind w:left="980" w:right="20" w:firstLine="1311"/>
        <w:spacing w:after="0" w:line="256" w:lineRule="auto"/>
        <w:tabs>
          <w:tab w:leader="none" w:pos="2568"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79" w:lineRule="exact"/>
        <w:rPr>
          <w:rFonts w:ascii="Times New Roman" w:cs="Times New Roman" w:eastAsia="Times New Roman" w:hAnsi="Times New Roman"/>
          <w:sz w:val="18"/>
          <w:szCs w:val="18"/>
          <w:color w:val="auto"/>
        </w:rPr>
      </w:pPr>
    </w:p>
    <w:p>
      <w:pPr>
        <w:ind w:left="440" w:firstLine="948"/>
        <w:spacing w:after="0" w:line="282" w:lineRule="auto"/>
        <w:tabs>
          <w:tab w:leader="none" w:pos="165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70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175" w:lineRule="exact"/>
        <w:rPr>
          <w:rFonts w:ascii="Times New Roman" w:cs="Times New Roman" w:eastAsia="Times New Roman" w:hAnsi="Times New Roman"/>
          <w:sz w:val="18"/>
          <w:szCs w:val="18"/>
          <w:color w:val="auto"/>
        </w:rPr>
      </w:pPr>
    </w:p>
    <w:p>
      <w:pPr>
        <w:ind w:right="340" w:firstLine="987"/>
        <w:spacing w:after="0" w:line="266"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109" w:name="page110"/>
    <w:bookmarkEnd w:id="109"/>
    <w:p>
      <w:pPr>
        <w:ind w:right="260" w:firstLine="987"/>
        <w:spacing w:after="0" w:line="282"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or not therein expressly so provided, every provision of this Indenture relating to the conduct or affecting the liability of or affording protection to the Trustee shall be subject to the provisions of this Section 11.02.</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incur any liability for not performing any act or fulfilling any duty, obligation or responsibility hereunder by reason of any occurrence beyond its own control that could not have reasonably been avoided or overcome (including but not limited to any act or provision of any present or future law or regulation or Governmental Authority restricting or prohibiting the performance of obligations contemplated by this Indenture, any act of God or war, civil unrest, strikes, work stoppages, local or national disturbance or disaster, pandemic or epidemic, any act of terrorism, or the unavailability of the Federal Reserve Bank wire or other wire or communication facility).</w:t>
      </w:r>
    </w:p>
    <w:p>
      <w:pPr>
        <w:spacing w:after="0" w:line="183" w:lineRule="exact"/>
        <w:rPr>
          <w:rFonts w:ascii="Times New Roman" w:cs="Times New Roman" w:eastAsia="Times New Roman" w:hAnsi="Times New Roman"/>
          <w:sz w:val="18"/>
          <w:szCs w:val="18"/>
          <w:color w:val="auto"/>
        </w:rPr>
      </w:pPr>
    </w:p>
    <w:p>
      <w:pPr>
        <w:ind w:right="260" w:firstLine="987"/>
        <w:spacing w:after="0" w:line="266" w:lineRule="auto"/>
        <w:tabs>
          <w:tab w:leader="none" w:pos="12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TIA Section 310(b); provided, however, that there shall be excluded from the operation of TIA</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or resign, to the extent and in the manner provided by, and subject to the provisions of, the Trust Indenture Act and this Indenture. If</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8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Resignation and Notice; Removal</w:t>
      </w:r>
      <w:r>
        <w:rPr>
          <w:rFonts w:ascii="Times New Roman" w:cs="Times New Roman" w:eastAsia="Times New Roman" w:hAnsi="Times New Roman"/>
          <w:sz w:val="18"/>
          <w:szCs w:val="18"/>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 and may appoint a successor Trustee reasonably acceptable to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at any time:</w:t>
      </w:r>
    </w:p>
    <w:p>
      <w:pPr>
        <w:spacing w:after="0" w:line="117" w:lineRule="exact"/>
        <w:rPr>
          <w:sz w:val="20"/>
          <w:szCs w:val="20"/>
          <w:color w:val="auto"/>
        </w:rPr>
      </w:pPr>
    </w:p>
    <w:p>
      <w:pPr>
        <w:jc w:val="both"/>
        <w:ind w:right="40" w:firstLine="436"/>
        <w:spacing w:after="0" w:line="266"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175" w:lineRule="exact"/>
        <w:rPr>
          <w:rFonts w:ascii="Times New Roman" w:cs="Times New Roman" w:eastAsia="Times New Roman" w:hAnsi="Times New Roman"/>
          <w:sz w:val="18"/>
          <w:szCs w:val="18"/>
          <w:color w:val="auto"/>
        </w:rPr>
      </w:pPr>
    </w:p>
    <w:p>
      <w:pPr>
        <w:jc w:val="both"/>
        <w:ind w:right="480" w:firstLine="436"/>
        <w:spacing w:after="0" w:line="266"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 reasonably acceptable to the Company.</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111" w:name="page112"/>
    <w:bookmarkEnd w:id="111"/>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its resignation or removal, any Trustee shall be entitled to the payment of reasonable compensation for the services rendered hereunder by such Trustee and to the payment of all reasonable and documented expenses incurred hereunder and all moneys then due to it hereunder. The Trustee’s rights to indemnification provided in Section 11.01(a) shall survive its resignation or removal.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Successor Trustee by Appointment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70" w:lineRule="auto"/>
        <w:tabs>
          <w:tab w:leader="none" w:pos="123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spacing w:after="0" w:line="176" w:lineRule="exact"/>
        <w:rPr>
          <w:rFonts w:ascii="Times New Roman" w:cs="Times New Roman" w:eastAsia="Times New Roman" w:hAnsi="Times New Roman"/>
          <w:sz w:val="17"/>
          <w:szCs w:val="17"/>
          <w:color w:val="auto"/>
        </w:rPr>
      </w:pPr>
    </w:p>
    <w:p>
      <w:pPr>
        <w:ind w:firstLine="987"/>
        <w:spacing w:after="0" w:line="273" w:lineRule="auto"/>
        <w:tabs>
          <w:tab w:leader="none" w:pos="124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Trustee with respect to the Securities of any series shall resign or be removed and a successor Trustee shall not have been appointed by the Company within 30 days of the Trustee’s resignation or removal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171" w:lineRule="exact"/>
        <w:rPr>
          <w:rFonts w:ascii="Times New Roman" w:cs="Times New Roman" w:eastAsia="Times New Roman" w:hAnsi="Times New Roman"/>
          <w:sz w:val="17"/>
          <w:szCs w:val="17"/>
          <w:color w:val="auto"/>
        </w:rPr>
      </w:pPr>
    </w:p>
    <w:p>
      <w:pPr>
        <w:ind w:firstLine="987"/>
        <w:spacing w:after="0" w:line="256"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112" w:name="page113"/>
    <w:bookmarkEnd w:id="112"/>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properties held by such predecessor Trustee as Trustee hereunder with respect to the Securities of such series, subject nevertheless to its lien provided for in 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9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Successor Trustee by Merger</w:t>
      </w:r>
      <w:r>
        <w:rPr>
          <w:rFonts w:ascii="Times New Roman" w:cs="Times New Roman" w:eastAsia="Times New Roman" w:hAnsi="Times New Roman"/>
          <w:sz w:val="18"/>
          <w:szCs w:val="18"/>
          <w:color w:val="auto"/>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Right to Rely on Officer’s Certificate</w:t>
      </w:r>
      <w:r>
        <w:rPr>
          <w:rFonts w:ascii="Times New Roman" w:cs="Times New Roman" w:eastAsia="Times New Roman" w:hAnsi="Times New Roman"/>
          <w:sz w:val="18"/>
          <w:szCs w:val="18"/>
          <w:color w:val="auto"/>
        </w:rPr>
        <w:t>.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bad faith or willful misconduct on the part of the Trustee, be deemed to be conclusively proved and established by an Officer’s Certificate with respect thereto delivered to the Trustee, and such Officer’s Certificate, in the absence of negligence, bad faith or willful misconduct on the part of the Trustee, shall be full warrant to the Trustee for any action taken, suffered or omitted by it under the provisions of this Indenture upon the faith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113" w:name="page114"/>
    <w:bookmarkEnd w:id="113"/>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11.09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for its services under this Section 11.09.</w:t>
      </w:r>
    </w:p>
    <w:p>
      <w:pPr>
        <w:spacing w:after="0" w:line="225"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Communications by Securityholders with Other Securityholders</w:t>
      </w:r>
      <w:r>
        <w:rPr>
          <w:rFonts w:ascii="Times New Roman" w:cs="Times New Roman" w:eastAsia="Times New Roman" w:hAnsi="Times New Roman"/>
          <w:sz w:val="18"/>
          <w:szCs w:val="18"/>
          <w:color w:val="auto"/>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SATISFACTION AND DISCHARGE; DEFEASANCE</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The provisions of this Article shall be applicable to the Securities of all series issued pursuant to this Indenture, except as otherwise specified pursuant to Section 3.01.</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 Section 12.02), and the Trustee, at the expense of the Company, shall execute proper instruments acknowledging satisfaction and discharge of this Indenture with respect to the Securities of such series, when,</w:t>
      </w:r>
    </w:p>
    <w:p>
      <w:pPr>
        <w:spacing w:after="0" w:line="187" w:lineRule="exact"/>
        <w:rPr>
          <w:sz w:val="20"/>
          <w:szCs w:val="20"/>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440" w:firstLine="948"/>
        <w:spacing w:after="0" w:line="261" w:lineRule="auto"/>
        <w:tabs>
          <w:tab w:leader="none" w:pos="160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6.03(e)) have been delivered to the Trustee for cancellation; or</w:t>
      </w:r>
    </w:p>
    <w:p>
      <w:pPr>
        <w:spacing w:after="0" w:line="71"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not theretofore delivered to the Trustee for cancellation,</w:t>
      </w:r>
    </w:p>
    <w:p>
      <w:pPr>
        <w:spacing w:after="0" w:line="117" w:lineRule="exact"/>
        <w:rPr>
          <w:rFonts w:ascii="Times New Roman" w:cs="Times New Roman" w:eastAsia="Times New Roman" w:hAnsi="Times New Roman"/>
          <w:sz w:val="18"/>
          <w:szCs w:val="18"/>
          <w:color w:val="auto"/>
        </w:rPr>
      </w:pPr>
    </w:p>
    <w:p>
      <w:pPr>
        <w:ind w:left="2580" w:hanging="289"/>
        <w:spacing w:after="0"/>
        <w:tabs>
          <w:tab w:leader="none" w:pos="25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2580" w:hanging="289"/>
        <w:spacing w:after="0"/>
        <w:tabs>
          <w:tab w:leader="none" w:pos="25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980" w:right="20" w:firstLine="1311"/>
        <w:spacing w:after="0" w:line="266" w:lineRule="auto"/>
        <w:tabs>
          <w:tab w:leader="none" w:pos="2568"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6" w:right="459" w:bottom="1440" w:gutter="0" w:footer="0" w:header="0"/>
        </w:sectPr>
      </w:pPr>
    </w:p>
    <w:bookmarkStart w:id="115" w:name="page116"/>
    <w:bookmarkEnd w:id="115"/>
    <w:p>
      <w:pPr>
        <w:ind w:left="98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Company, in the case of (A), (B) or (C) above, has irrevocably deposited or caused to be deposited with the Trustee funds in trust for the purpose an amount in cash in the Currency in which such Securities are payable (subject to Section 12.08) sufficient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 provided, however, that, if a Default of the nature described in clauses (e) or (f) of Section 7.01 shall have occurred at any time during the period ending on and including the date of such deposit or if the Trustee or any Paying Agent is required to return the monies then on deposit with or held by the Trustee or such Paying Agent to the Company or to a trustee in bankruptcy, receiver, conservator or other similar Person, or the Trustee or any Paying Agent is not permitted to apply any such funds to pay the principal of and premium, if any, and interest on the Securities of such series (including to make sinking fund payments) as and when the same shall become due and payable, the obligations of the Company under this Indenture with respect to such Securities shall not be deemed terminated or discharged;</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 the Company has paid or caused to be paid all other sums payable hereunder by the Company with respect to the Securities of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series; and</w:t>
      </w:r>
    </w:p>
    <w:p>
      <w:pPr>
        <w:spacing w:after="0" w:line="207" w:lineRule="exact"/>
        <w:rPr>
          <w:sz w:val="20"/>
          <w:szCs w:val="20"/>
          <w:color w:val="auto"/>
        </w:rPr>
      </w:pPr>
    </w:p>
    <w:p>
      <w:pPr>
        <w:ind w:left="4" w:right="100" w:firstLine="987"/>
        <w:spacing w:after="0" w:line="282" w:lineRule="auto"/>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162" w:lineRule="exact"/>
        <w:rPr>
          <w:sz w:val="20"/>
          <w:szCs w:val="20"/>
          <w:color w:val="auto"/>
        </w:rPr>
      </w:pPr>
    </w:p>
    <w:p>
      <w:pPr>
        <w:ind w:left="4" w:right="320"/>
        <w:spacing w:after="0" w:line="276" w:lineRule="auto"/>
        <w:rPr>
          <w:sz w:val="20"/>
          <w:szCs w:val="20"/>
          <w:color w:val="auto"/>
        </w:rPr>
      </w:pPr>
      <w:r>
        <w:rPr>
          <w:rFonts w:ascii="Times New Roman" w:cs="Times New Roman" w:eastAsia="Times New Roman" w:hAnsi="Times New Roman"/>
          <w:sz w:val="17"/>
          <w:szCs w:val="17"/>
          <w:color w:val="auto"/>
        </w:rPr>
        <w:t>Notwithstanding the satisfaction and discharge of this Indenture with respect to the Securities of any series, the obligations of the Company to the Trustee under Section 11.01 and in the case of satisfaction and discharge under Section 12.02, the provisions of Sections 3.04, 3.05, 3.06, 3.07, 3.10,</w:t>
      </w:r>
    </w:p>
    <w:p>
      <w:pPr>
        <w:spacing w:after="0" w:line="1" w:lineRule="exact"/>
        <w:rPr>
          <w:sz w:val="20"/>
          <w:szCs w:val="20"/>
          <w:color w:val="auto"/>
        </w:rPr>
      </w:pPr>
    </w:p>
    <w:p>
      <w:pPr>
        <w:ind w:left="4" w:right="160"/>
        <w:spacing w:after="0" w:line="253" w:lineRule="auto"/>
        <w:rPr>
          <w:sz w:val="20"/>
          <w:szCs w:val="20"/>
          <w:color w:val="auto"/>
        </w:rPr>
      </w:pPr>
      <w:r>
        <w:rPr>
          <w:rFonts w:ascii="Times New Roman" w:cs="Times New Roman" w:eastAsia="Times New Roman" w:hAnsi="Times New Roman"/>
          <w:sz w:val="18"/>
          <w:szCs w:val="18"/>
          <w:color w:val="auto"/>
        </w:rPr>
        <w:t>6.02 and 6.03 and this Article XII, and, if the Securities of such series are to be redeemed prior to their Stated Maturity (including, without limitation, pursuant to a mandatory sinking fund), the provisions of Article IV hereof, and, if the Securities of such series are convertible into or exchangeable for other securities or property, the rights of the Holders of such Securities to convert or exchange, and the obligations of the Company to convert or exchange, such Securities into other securities or property, and, if money shall have been deposited with the Trustee pursuant to clause (a) of this Section, the obligations of the Trustee under Section 12.07 and Section 6.03(e) shall survive such satisfaction and discharge.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Defeasance and Covenant Defeasance upon Deposit of Moneys or U.S. Government Obligations</w:t>
      </w:r>
      <w:r>
        <w:rPr>
          <w:rFonts w:ascii="Times New Roman" w:cs="Times New Roman" w:eastAsia="Times New Roman" w:hAnsi="Times New Roman"/>
          <w:sz w:val="18"/>
          <w:szCs w:val="18"/>
          <w:color w:val="auto"/>
        </w:rPr>
        <w:t>. At the Company’s option, either</w:t>
      </w:r>
    </w:p>
    <w:p>
      <w:pPr>
        <w:spacing w:after="0" w:line="27" w:lineRule="exact"/>
        <w:rPr>
          <w:sz w:val="20"/>
          <w:szCs w:val="20"/>
          <w:color w:val="auto"/>
        </w:rPr>
      </w:pPr>
    </w:p>
    <w:p>
      <w:pPr>
        <w:ind w:left="4" w:right="120" w:hanging="4"/>
        <w:spacing w:after="0" w:line="253" w:lineRule="auto"/>
        <w:tabs>
          <w:tab w:leader="none" w:pos="2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deemed to have been Discharged (as defined below) from its obligations with respect to Securities of any series on the first day after the applicable conditions set forth below have been satisfied or (y)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(“covenant defeasance”) upon the satisfaction of the applicable conditions set forth below:</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116" w:name="page117"/>
    <w:bookmarkEnd w:id="116"/>
    <w:p>
      <w:pPr>
        <w:ind w:left="-20" w:firstLine="987"/>
        <w:spacing w:after="0" w:line="254" w:lineRule="auto"/>
        <w:tabs>
          <w:tab w:leader="none" w:pos="121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deposited or caused to be deposited irrevocably with the Trustee as trust funds in trust, specifically pledged as security for, and dedicated solely to, the benefit of the Holders of the Securities of such series (i) money in the Currency in which such Securities are payable in an amount, or (ii) U.S. Government Obligations (as defined below) that, through the payment of interest and principal in respect thereof in accordance with their terms, will provide, not later than one day before the due date of any payment, money in the Currency in which such Securities are payable in an amount, or (iii) a combination of (i) and (ii), sufficient (without consideration of any reinvestment of such principal and interest) to pay and 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spacing w:after="0" w:line="188"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2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Securities of such series shall have occurred and be continuing on the date of such deposit (other than a Default resulting from the borrowing of funds and the grant of any related liens to be applied to such deposit) and, solely in the case of Discharge pursuant to clause (x) of the first paragraph of this Section 12.03, no Default with respect to the Securities of such series under either clause (e) or (f) of Section 7.01 shall have occurred at any time during the period ending on and including the date of such deposit;</w:t>
      </w:r>
    </w:p>
    <w:p>
      <w:pPr>
        <w:spacing w:after="0" w:line="179" w:lineRule="exact"/>
        <w:rPr>
          <w:rFonts w:ascii="Times New Roman" w:cs="Times New Roman" w:eastAsia="Times New Roman" w:hAnsi="Times New Roman"/>
          <w:sz w:val="18"/>
          <w:szCs w:val="18"/>
          <w:color w:val="auto"/>
        </w:rPr>
      </w:pPr>
    </w:p>
    <w:p>
      <w:pPr>
        <w:ind w:left="-20" w:right="20" w:firstLine="987"/>
        <w:spacing w:after="0" w:line="256" w:lineRule="auto"/>
        <w:tabs>
          <w:tab w:leader="none" w:pos="121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spacing w:after="0" w:line="187" w:lineRule="exact"/>
        <w:rPr>
          <w:rFonts w:ascii="Times New Roman" w:cs="Times New Roman" w:eastAsia="Times New Roman" w:hAnsi="Times New Roman"/>
          <w:sz w:val="18"/>
          <w:szCs w:val="18"/>
          <w:color w:val="auto"/>
        </w:rPr>
      </w:pPr>
    </w:p>
    <w:p>
      <w:pPr>
        <w:ind w:left="-20" w:right="100" w:firstLine="987"/>
        <w:spacing w:after="0" w:line="277" w:lineRule="auto"/>
        <w:tabs>
          <w:tab w:leader="none" w:pos="122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spacing w:after="0" w:line="167" w:lineRule="exact"/>
        <w:rPr>
          <w:rFonts w:ascii="Times New Roman" w:cs="Times New Roman" w:eastAsia="Times New Roman" w:hAnsi="Times New Roman"/>
          <w:sz w:val="17"/>
          <w:szCs w:val="17"/>
          <w:color w:val="auto"/>
        </w:rPr>
      </w:pPr>
    </w:p>
    <w:p>
      <w:pPr>
        <w:ind w:left="-20" w:right="320" w:firstLine="987"/>
        <w:spacing w:after="0" w:line="282" w:lineRule="auto"/>
        <w:tabs>
          <w:tab w:leader="none" w:pos="121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such action under this Indenture have been complied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60" w:top="270" w:right="459" w:bottom="1440" w:gutter="0" w:footer="0" w:header="0"/>
        </w:sectPr>
      </w:pPr>
    </w:p>
    <w:bookmarkStart w:id="117" w:name="page118"/>
    <w:bookmarkEnd w:id="11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“Discharged” means, with respect to the Securities of any series,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Sections 3.04, 3.05, 3.06, 3.07, 3.10, 6.02 and 6.03, (C) if the Securities of such series are to be redeemed prior to their Stated Maturity, the provisions of Article IV hereof, (D) if the Securities of such series are convertible into or exchangeable for other securities or property, the rights of the Holders of such Securities to convert or exchange, and the obligations of the Company to convert or exchange, such Securities into such other securities or property, (E) the provisions of this Article XII and (F) the rights, powers, trusts, duties and immunities of the Trustee hereunder.</w:t>
      </w:r>
    </w:p>
    <w:p>
      <w:pPr>
        <w:spacing w:after="0" w:line="194"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 The Trustee and any Paying Agent shall promptly pay to the Company (or to its designee) upon delivery of a Company Order any moneys or U.S. Government Obligations deposited pursuant to Sections 12.02 and 12.03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escrow trust agreement entered into pursuant to Section 12.06. The provisions of Section 6.03(e) shall apply to any money held by the Trustee or any Paying Agent under this Article.</w:t>
      </w:r>
    </w:p>
    <w:p>
      <w:pPr>
        <w:spacing w:after="0" w:line="18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Indemnity for U.S. Government Obligations</w:t>
      </w:r>
      <w:r>
        <w:rPr>
          <w:rFonts w:ascii="Times New Roman" w:cs="Times New Roman" w:eastAsia="Times New Roman" w:hAnsi="Times New Roman"/>
          <w:sz w:val="18"/>
          <w:szCs w:val="18"/>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118" w:name="page119"/>
    <w:bookmarkEnd w:id="1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12.07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82"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other Paying Agent shall be required to pay interest on any moneys deposited pursuant to the provisions of this Indenture, except such as it shall agree with the Company in writing to pay thereon.</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6.03(e), any monies and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 Anything in this Indenture to the contrary notwithstanding, neither the Company nor any of its Subsidiaries nor any of their respective Affiliates may act as Paying Agent for any Securities in respect of which money or U.S. Government Obligations have been deposited pursuant to this Article XII.</w:t>
      </w:r>
    </w:p>
    <w:p>
      <w:pPr>
        <w:spacing w:after="0" w:line="192" w:lineRule="exact"/>
        <w:rPr>
          <w:sz w:val="20"/>
          <w:szCs w:val="20"/>
          <w:color w:val="auto"/>
        </w:rPr>
      </w:pPr>
    </w:p>
    <w:p>
      <w:pPr>
        <w:jc w:val="both"/>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u w:val="single" w:color="auto"/>
          <w:color w:val="auto"/>
        </w:rPr>
        <w:t>Deposits of Non-U.S. Currencies</w:t>
      </w:r>
      <w:r>
        <w:rPr>
          <w:rFonts w:ascii="Times New Roman" w:cs="Times New Roman" w:eastAsia="Times New Roman" w:hAnsi="Times New Roman"/>
          <w:sz w:val="18"/>
          <w:szCs w:val="18"/>
          <w:color w:val="auto"/>
        </w:rPr>
        <w:t xml:space="preserve"> .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 and may be deposited with an entity appointed by the Company and reasonably acceptable to the Trustee for purposes of holding the funds until payment to Holders.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IMMUNITY OF CERTAIN PERSONS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No Personal Liability</w:t>
      </w:r>
      <w:r>
        <w:rPr>
          <w:rFonts w:ascii="Times New Roman" w:cs="Times New Roman" w:eastAsia="Times New Roman" w:hAnsi="Times New Roman"/>
          <w:sz w:val="18"/>
          <w:szCs w:val="18"/>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INDENTURES</w:t>
      </w:r>
    </w:p>
    <w:p>
      <w:pPr>
        <w:spacing w:after="0" w:line="229"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Without Consent of Securityholders</w:t>
      </w:r>
      <w:r>
        <w:rPr>
          <w:rFonts w:ascii="Times New Roman" w:cs="Times New Roman" w:eastAsia="Times New Roman" w:hAnsi="Times New Roman"/>
          <w:sz w:val="18"/>
          <w:szCs w:val="18"/>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68" w:lineRule="exact"/>
        <w:rPr>
          <w:sz w:val="20"/>
          <w:szCs w:val="20"/>
          <w:color w:val="auto"/>
        </w:rPr>
      </w:pPr>
    </w:p>
    <w:p>
      <w:pPr>
        <w:ind w:right="180" w:firstLine="987"/>
        <w:spacing w:after="0" w:line="258"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183"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delete or modify any Events of Default with respect to any series of the Securities, the form and terms of which are being first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75"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2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any series of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66" w:right="459" w:bottom="1440" w:gutter="0" w:footer="0" w:header="0"/>
        </w:sectPr>
      </w:pPr>
    </w:p>
    <w:bookmarkStart w:id="120" w:name="page121"/>
    <w:bookmarkEnd w:id="120"/>
    <w:p>
      <w:pPr>
        <w:ind w:left="1240" w:hanging="253"/>
        <w:spacing w:after="0"/>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evidence any changes to this Indenture pursuant to Sections 11.05, 11.06 or 11.07 hereof as permitted by the terms thereof;</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0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179" w:lineRule="exact"/>
        <w:rPr>
          <w:rFonts w:ascii="Times New Roman" w:cs="Times New Roman" w:eastAsia="Times New Roman" w:hAnsi="Times New Roman"/>
          <w:sz w:val="18"/>
          <w:szCs w:val="18"/>
          <w:color w:val="auto"/>
        </w:rPr>
      </w:pPr>
    </w:p>
    <w:p>
      <w:pPr>
        <w:ind w:right="140" w:firstLine="987"/>
        <w:spacing w:after="0" w:line="282" w:lineRule="auto"/>
        <w:tabs>
          <w:tab w:leader="none" w:pos="120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or eliminate any provision of this Indenture as shall be necessary or desirable in accordance with any amendments to the Trust Indenture Act;</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guarantors or co-obligors with respect to any series of Securities or to release guarantors from their guarantees of Securities in accordance with the terms of the applicable series of Securities;</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in any series of Securities that does not adversely affect in any material respect the rights of the Holders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6"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certificated securities;</w:t>
      </w:r>
    </w:p>
    <w:p>
      <w:pPr>
        <w:spacing w:after="0" w:line="225"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 in any material respect;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prohibit the authentication and delivery of additional series of Securities; or</w:t>
      </w:r>
    </w:p>
    <w:p>
      <w:pPr>
        <w:spacing w:after="0" w:line="225" w:lineRule="exact"/>
        <w:rPr>
          <w:rFonts w:ascii="Times New Roman" w:cs="Times New Roman" w:eastAsia="Times New Roman" w:hAnsi="Times New Roman"/>
          <w:sz w:val="18"/>
          <w:szCs w:val="18"/>
          <w:color w:val="auto"/>
        </w:rPr>
      </w:pPr>
    </w:p>
    <w:p>
      <w:pPr>
        <w:ind w:right="180" w:firstLine="987"/>
        <w:spacing w:after="0" w:line="289" w:lineRule="auto"/>
        <w:tabs>
          <w:tab w:leader="none" w:pos="124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5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14.01 may be executed by the Company and the Trustee without the consent of the Holders of any of the Securities at the time Outstanding.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121" w:name="page122"/>
    <w:bookmarkEnd w:id="1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14.02 </w:t>
      </w:r>
      <w:r>
        <w:rPr>
          <w:rFonts w:ascii="Times New Roman" w:cs="Times New Roman" w:eastAsia="Times New Roman" w:hAnsi="Times New Roman"/>
          <w:sz w:val="18"/>
          <w:szCs w:val="18"/>
          <w:u w:val="single" w:color="auto"/>
          <w:color w:val="auto"/>
        </w:rPr>
        <w:t>With Consent of Securityholders;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spacing w:after="0" w:line="75" w:lineRule="exact"/>
        <w:rPr>
          <w:rFonts w:ascii="Times New Roman" w:cs="Times New Roman" w:eastAsia="Times New Roman" w:hAnsi="Times New Roman"/>
          <w:sz w:val="18"/>
          <w:szCs w:val="18"/>
          <w:color w:val="auto"/>
        </w:rPr>
      </w:pPr>
    </w:p>
    <w:p>
      <w:pPr>
        <w:ind w:left="440" w:right="80" w:firstLine="948"/>
        <w:spacing w:after="0" w:line="255" w:lineRule="auto"/>
        <w:tabs>
          <w:tab w:leader="none" w:pos="160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Stated Maturity of the principal of, or any installment of interest on, any Security, or reduce the principal amount thereof or the interest thereon or any premium payable thereon, or extend the Stated Maturity of, or change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change the ranking of any Security or, in the case of any subordinated Security, the definition of Senior Indebtedness applicable thereto,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80"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58" w:lineRule="auto"/>
        <w:tabs>
          <w:tab w:leader="none" w:pos="170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w:t>
      </w:r>
    </w:p>
    <w:p>
      <w:pPr>
        <w:spacing w:after="0" w:line="75"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without the written consent of the Trustee, the rights, duties or immunities of the Trustee.</w:t>
      </w:r>
    </w:p>
    <w:p>
      <w:pPr>
        <w:spacing w:after="0" w:line="225"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122" w:name="page123"/>
    <w:bookmarkEnd w:id="122"/>
    <w:p>
      <w:pPr>
        <w:ind w:right="80" w:firstLine="987"/>
        <w:spacing w:after="0" w:line="282"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shall not be necessary for the consent of the Securityholders under this Section 14.02 to approve the particular form of any proposed supplemental indenture, but it shall be sufficient if such consent shall approve the substance thereof.</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18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 Upon the request of the Company, accompanied by the Officer’s Certificate and Opinion of Counsel required by Section 16.01 (provided, however, that such Officer’s Certificate or Opinion of Counsel need not be provided in connection with the execution of a supplemental indenture that establishes the terms of a series of Securities pursuant to Section 2.01 hereof)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Opinion of Counsel.</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Effect of Execution of Supplemental Indenture</w:t>
      </w:r>
      <w:r>
        <w:rPr>
          <w:rFonts w:ascii="Times New Roman" w:cs="Times New Roman" w:eastAsia="Times New Roman" w:hAnsi="Times New Roman"/>
          <w:sz w:val="18"/>
          <w:szCs w:val="18"/>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123" w:name="page124"/>
    <w:bookmarkEnd w:id="123"/>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14.05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187"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u w:val="single" w:color="auto"/>
          <w:color w:val="auto"/>
        </w:rPr>
        <w:t>Conformity with TIA</w:t>
      </w:r>
      <w:r>
        <w:rPr>
          <w:rFonts w:ascii="Times New Roman" w:cs="Times New Roman" w:eastAsia="Times New Roman" w:hAnsi="Times New Roman"/>
          <w:sz w:val="18"/>
          <w:szCs w:val="18"/>
          <w:color w:val="auto"/>
        </w:rPr>
        <w:t>. Every supplemental indenture executed pursuant to the provisions of this Article shall conform to the requirements of the Trust Indenture Act as then in effect.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 OF SECURITIES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Agreement to Subordinate</w:t>
      </w:r>
      <w:r>
        <w:rPr>
          <w:rFonts w:ascii="Times New Roman" w:cs="Times New Roman" w:eastAsia="Times New Roman" w:hAnsi="Times New Roman"/>
          <w:sz w:val="18"/>
          <w:szCs w:val="18"/>
          <w:color w:val="auto"/>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3.01(t), this Article XV shall have no effect upon the Securities.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Distribution on Dissolution, 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Concurso Mercantil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Reorganization; Subrogation of Securities</w:t>
      </w:r>
      <w:r>
        <w:rPr>
          <w:rFonts w:ascii="Times New Roman" w:cs="Times New Roman" w:eastAsia="Times New Roman" w:hAnsi="Times New Roman"/>
          <w:sz w:val="18"/>
          <w:szCs w:val="18"/>
          <w:color w:val="auto"/>
        </w:rPr>
        <w:t>. Subject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15.01, upon any distribution of assets of the Company upon any dissolution, winding up, liquidation,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or reorganization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whether in bankruptcy, insolvency,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reorganization or receivership proceedings or upon an assignment for the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creditors or any other marshalling of the assets and liabilities of the Company or otherwise (subject to the power of a court of competent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make other equitable provision reflecting the rights conferred in this Indenture upon the Senior Indebtedness and the holders thereof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and the holders thereof by a lawful plan of reorganization under applicable bankruptcy law):</w:t>
      </w:r>
    </w:p>
    <w:p>
      <w:pPr>
        <w:spacing w:after="0" w:line="99" w:lineRule="exact"/>
        <w:rPr>
          <w:sz w:val="20"/>
          <w:szCs w:val="20"/>
          <w:color w:val="auto"/>
        </w:rPr>
      </w:pPr>
    </w:p>
    <w:p>
      <w:pPr>
        <w:ind w:firstLine="987"/>
        <w:spacing w:after="0" w:line="266"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w:t>
      </w:r>
    </w:p>
    <w:p>
      <w:pPr>
        <w:spacing w:after="0" w:line="17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124" w:name="page125"/>
    <w:bookmarkEnd w:id="124"/>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80" w:lineRule="exact"/>
        <w:rPr>
          <w:sz w:val="20"/>
          <w:szCs w:val="20"/>
          <w:color w:val="auto"/>
        </w:rPr>
      </w:pPr>
    </w:p>
    <w:p>
      <w:pPr>
        <w:ind w:right="80" w:firstLine="987"/>
        <w:spacing w:after="0" w:line="255"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 and</w:t>
      </w:r>
    </w:p>
    <w:p>
      <w:pPr>
        <w:spacing w:after="0" w:line="188"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15.06,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125" w:name="page126"/>
    <w:bookmarkEnd w:id="125"/>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15.03 </w:t>
      </w:r>
      <w:r>
        <w:rPr>
          <w:rFonts w:ascii="Times New Roman" w:cs="Times New Roman" w:eastAsia="Times New Roman" w:hAnsi="Times New Roman"/>
          <w:sz w:val="18"/>
          <w:szCs w:val="18"/>
          <w:u w:val="single" w:color="auto"/>
          <w:color w:val="auto"/>
        </w:rPr>
        <w:t>No Payment on Securities in Event of Default on Senior Indebtedness</w:t>
      </w:r>
      <w:r>
        <w:rPr>
          <w:rFonts w:ascii="Times New Roman" w:cs="Times New Roman" w:eastAsia="Times New Roman" w:hAnsi="Times New Roman"/>
          <w:sz w:val="18"/>
          <w:szCs w:val="18"/>
          <w:color w:val="auto"/>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8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Payments on Securities Permitted</w:t>
      </w:r>
      <w:r>
        <w:rPr>
          <w:rFonts w:ascii="Times New Roman" w:cs="Times New Roman" w:eastAsia="Times New Roman" w:hAnsi="Times New Roman"/>
          <w:sz w:val="18"/>
          <w:szCs w:val="18"/>
          <w:color w:val="auto"/>
        </w:rPr>
        <w:t>. Subject to Section 15.01, nothing contained in this Indenture or in any of the Securities shall</w:t>
      </w:r>
    </w:p>
    <w:p>
      <w:pPr>
        <w:spacing w:after="0" w:line="27" w:lineRule="exact"/>
        <w:rPr>
          <w:sz w:val="20"/>
          <w:szCs w:val="20"/>
          <w:color w:val="auto"/>
        </w:rPr>
      </w:pPr>
    </w:p>
    <w:p>
      <w:pPr>
        <w:ind w:left="4" w:right="60" w:hanging="4"/>
        <w:spacing w:after="0" w:line="270" w:lineRule="auto"/>
        <w:tabs>
          <w:tab w:leader="none" w:pos="24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174"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Authorization of Securityholders to Trustee to Effect Subordination</w:t>
      </w:r>
      <w:r>
        <w:rPr>
          <w:rFonts w:ascii="Times New Roman" w:cs="Times New Roman" w:eastAsia="Times New Roman" w:hAnsi="Times New Roman"/>
          <w:sz w:val="18"/>
          <w:szCs w:val="18"/>
          <w:color w:val="auto"/>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176" w:lineRule="exact"/>
        <w:rPr>
          <w:sz w:val="20"/>
          <w:szCs w:val="20"/>
          <w:color w:val="auto"/>
        </w:rPr>
      </w:pPr>
    </w:p>
    <w:p>
      <w:pPr>
        <w:ind w:left="4" w:right="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15.06 </w:t>
      </w:r>
      <w:r>
        <w:rPr>
          <w:rFonts w:ascii="Times New Roman" w:cs="Times New Roman" w:eastAsia="Times New Roman" w:hAnsi="Times New Roman"/>
          <w:sz w:val="17"/>
          <w:szCs w:val="17"/>
          <w:u w:val="single" w:color="auto"/>
          <w:color w:val="auto"/>
        </w:rPr>
        <w:t>Notices to Trustee</w:t>
      </w:r>
      <w:r>
        <w:rPr>
          <w:rFonts w:ascii="Times New Roman" w:cs="Times New Roman" w:eastAsia="Times New Roman" w:hAnsi="Times New Roman"/>
          <w:sz w:val="17"/>
          <w:szCs w:val="17"/>
          <w:color w:val="auto"/>
        </w:rPr>
        <w:t>.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w:t>
      </w:r>
    </w:p>
    <w:p>
      <w:pPr>
        <w:spacing w:after="0" w:line="9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4"/>
          </w:cols>
          <w:pgMar w:left="436" w:top="270" w:right="499" w:bottom="1440" w:gutter="0" w:footer="0" w:header="0"/>
        </w:sectPr>
      </w:pPr>
    </w:p>
    <w:bookmarkStart w:id="126" w:name="page127"/>
    <w:bookmarkEnd w:id="126"/>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19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15.07 </w:t>
      </w:r>
      <w:r>
        <w:rPr>
          <w:rFonts w:ascii="Times New Roman" w:cs="Times New Roman" w:eastAsia="Times New Roman" w:hAnsi="Times New Roman"/>
          <w:sz w:val="18"/>
          <w:szCs w:val="18"/>
          <w:u w:val="single" w:color="auto"/>
          <w:color w:val="auto"/>
        </w:rPr>
        <w:t>Trustee as Holder of Senior Indebtedness</w:t>
      </w:r>
      <w:r>
        <w:rPr>
          <w:rFonts w:ascii="Times New Roman" w:cs="Times New Roman" w:eastAsia="Times New Roman" w:hAnsi="Times New Roman"/>
          <w:sz w:val="18"/>
          <w:szCs w:val="18"/>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15.08 </w:t>
      </w:r>
      <w:r>
        <w:rPr>
          <w:rFonts w:ascii="Times New Roman" w:cs="Times New Roman" w:eastAsia="Times New Roman" w:hAnsi="Times New Roman"/>
          <w:sz w:val="18"/>
          <w:szCs w:val="18"/>
          <w:u w:val="single" w:color="auto"/>
          <w:color w:val="auto"/>
        </w:rPr>
        <w:t>Modifications of Terms of Senior Indebtedness</w:t>
      </w:r>
      <w:r>
        <w:rPr>
          <w:rFonts w:ascii="Times New Roman" w:cs="Times New Roman" w:eastAsia="Times New Roman" w:hAnsi="Times New Roman"/>
          <w:sz w:val="18"/>
          <w:szCs w:val="18"/>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127" w:name="page128"/>
    <w:bookmarkEnd w:id="12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15.09 </w:t>
      </w:r>
      <w:r>
        <w:rPr>
          <w:rFonts w:ascii="Times New Roman" w:cs="Times New Roman" w:eastAsia="Times New Roman" w:hAnsi="Times New Roman"/>
          <w:sz w:val="18"/>
          <w:szCs w:val="18"/>
          <w:u w:val="single" w:color="auto"/>
          <w:color w:val="auto"/>
        </w:rPr>
        <w:t>Reliance on Judicial Order or Certificate of Liquidating Agent</w:t>
      </w:r>
      <w:r>
        <w:rPr>
          <w:rFonts w:ascii="Times New Roman" w:cs="Times New Roman" w:eastAsia="Times New Roman" w:hAnsi="Times New Roman"/>
          <w:sz w:val="18"/>
          <w:szCs w:val="18"/>
          <w:color w:val="auto"/>
        </w:rPr>
        <w:t xml:space="preserve">.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19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15.10 </w:t>
      </w:r>
      <w:r>
        <w:rPr>
          <w:rFonts w:ascii="Times New Roman" w:cs="Times New Roman" w:eastAsia="Times New Roman" w:hAnsi="Times New Roman"/>
          <w:sz w:val="18"/>
          <w:szCs w:val="18"/>
          <w:u w:val="single" w:color="auto"/>
          <w:color w:val="auto"/>
        </w:rPr>
        <w:t>Satisfaction and Discharge; Defeasance and Covenant Defeasance</w:t>
      </w:r>
      <w:r>
        <w:rPr>
          <w:rFonts w:ascii="Times New Roman" w:cs="Times New Roman" w:eastAsia="Times New Roman" w:hAnsi="Times New Roman"/>
          <w:sz w:val="18"/>
          <w:szCs w:val="18"/>
          <w:color w:val="auto"/>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15.11 </w:t>
      </w:r>
      <w:r>
        <w:rPr>
          <w:rFonts w:ascii="Times New Roman" w:cs="Times New Roman" w:eastAsia="Times New Roman" w:hAnsi="Times New Roman"/>
          <w:sz w:val="18"/>
          <w:szCs w:val="18"/>
          <w:u w:val="single" w:color="auto"/>
          <w:color w:val="auto"/>
        </w:rPr>
        <w:t>Trustee Not Fiduciary for Holders of Senior Indebtedness</w:t>
      </w:r>
      <w:r>
        <w:rPr>
          <w:rFonts w:ascii="Times New Roman" w:cs="Times New Roman" w:eastAsia="Times New Roman" w:hAnsi="Times New Roman"/>
          <w:sz w:val="18"/>
          <w:szCs w:val="18"/>
          <w:color w:val="auto"/>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Certificates and Opinions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8"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0"/>
          </w:cols>
          <w:pgMar w:left="440" w:top="270" w:right="499" w:bottom="1440" w:gutter="0" w:footer="0" w:header="0"/>
        </w:sectPr>
      </w:pPr>
    </w:p>
    <w:bookmarkStart w:id="128" w:name="page129"/>
    <w:bookmarkEnd w:id="128"/>
    <w:p>
      <w:pPr>
        <w:ind w:right="40" w:firstLine="987"/>
        <w:spacing w:after="0" w:line="255"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188"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83"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129" w:name="page130"/>
    <w:bookmarkEnd w:id="129"/>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16.03 </w:t>
      </w:r>
      <w:r>
        <w:rPr>
          <w:rFonts w:ascii="Times New Roman" w:cs="Times New Roman" w:eastAsia="Times New Roman" w:hAnsi="Times New Roman"/>
          <w:sz w:val="18"/>
          <w:szCs w:val="18"/>
          <w:u w:val="single" w:color="auto"/>
          <w:color w:val="auto"/>
        </w:rPr>
        <w:t>Notices to the Company and Trustee</w:t>
      </w:r>
      <w:r>
        <w:rPr>
          <w:rFonts w:ascii="Times New Roman" w:cs="Times New Roman" w:eastAsia="Times New Roman" w:hAnsi="Times New Roman"/>
          <w:sz w:val="18"/>
          <w:szCs w:val="18"/>
          <w:color w:val="auto"/>
        </w:rPr>
        <w:t>. Any notice or demand authorized by this Indenture to be made upon, given or furnished to, or filed with, the Company or the Trustee shall be sufficiently made, given, furnished or filed for all purposes if it shall be mailed, delivered or electronically delivered to:</w:t>
      </w:r>
    </w:p>
    <w:p>
      <w:pPr>
        <w:spacing w:after="0" w:line="68" w:lineRule="exact"/>
        <w:rPr>
          <w:sz w:val="20"/>
          <w:szCs w:val="20"/>
          <w:color w:val="auto"/>
        </w:rPr>
      </w:pPr>
    </w:p>
    <w:p>
      <w:pPr>
        <w:ind w:right="240" w:firstLine="987"/>
        <w:spacing w:after="0" w:line="266"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c/o Cemex, S.A.B. de C.V., Avenida Ricardo Margáin Zozaya #325, Colonia Valle del Campestre, San Pedro Garza García, Nuevo León, Mexico 66265, Attention: Finance Department—Chief Financial Officer, Email: maher.alhaffar@cemex.com or at such other address or email as may have been furnished in writing to the Trustee by the Company.</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at c/o The Bank of New York Mellon, 240 Greenwich Street, Floor 7 East, New York, NY 10286, Attention: International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Trust.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notice, demand or other document shall be in the English language.</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Notices to Securityholders; Waiver</w:t>
      </w:r>
      <w:r>
        <w:rPr>
          <w:rFonts w:ascii="Times New Roman" w:cs="Times New Roman" w:eastAsia="Times New Roman" w:hAnsi="Times New Roman"/>
          <w:sz w:val="18"/>
          <w:szCs w:val="18"/>
          <w:color w:val="auto"/>
        </w:rPr>
        <w:t>. Any notice required or permitted to be given to Securityholders shall be sufficiently given (unless otherwise herein expressly provided),</w:t>
      </w:r>
    </w:p>
    <w:p>
      <w:pPr>
        <w:spacing w:after="0" w:line="162" w:lineRule="exact"/>
        <w:rPr>
          <w:sz w:val="20"/>
          <w:szCs w:val="20"/>
          <w:color w:val="auto"/>
        </w:rPr>
      </w:pPr>
    </w:p>
    <w:p>
      <w:pPr>
        <w:ind w:right="140" w:firstLine="987"/>
        <w:spacing w:after="0" w:line="261"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Holders, if given in writing by first class mail, postage prepaid, to such Holders at their addresses as the same shall appear on the Register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spacing w:after="0" w:line="179" w:lineRule="exact"/>
        <w:rPr>
          <w:rFonts w:ascii="Times New Roman" w:cs="Times New Roman" w:eastAsia="Times New Roman" w:hAnsi="Times New Roman"/>
          <w:sz w:val="18"/>
          <w:szCs w:val="18"/>
          <w:color w:val="auto"/>
        </w:rPr>
      </w:pPr>
    </w:p>
    <w:p>
      <w:pPr>
        <w:ind w:right="580" w:firstLine="987"/>
        <w:spacing w:after="0" w:line="266"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series of Securities has been issued in the form of one or more Global Securities through DTC as Depositary, notice may be provided with respect to such series of Securities by delivery of such notice to DTC for posting through its “Legal Notice Service” (LENS) or a successor system thereof.</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delivered to the Trustee, but such delivery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130" w:name="page131"/>
    <w:bookmarkEnd w:id="130"/>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16.05 </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Effects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Indenture by the parties hereto shall bind their respective successors and assigns and inure to the benefit of their permitted successors and assigns, whether so expressed or not.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16.08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u w:val="single" w:color="auto"/>
          <w:color w:val="auto"/>
        </w:rPr>
        <w:t>Counterparts Originals</w:t>
      </w:r>
      <w:r>
        <w:rPr>
          <w:rFonts w:ascii="Times New Roman" w:cs="Times New Roman" w:eastAsia="Times New Roman" w:hAnsi="Times New Roman"/>
          <w:sz w:val="18"/>
          <w:szCs w:val="18"/>
          <w:color w:val="auto"/>
        </w:rPr>
        <w:t>. This Indenture may be executed in any number of counterparts, each of which so executed shall be deemed to be an original, but all such counterparts shall together constitute but one and the same instrument.</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u w:val="single" w:color="auto"/>
          <w:color w:val="auto"/>
        </w:rPr>
        <w:t>Governing Law; Waiver of Trial by Jury; Submission to Jurisdiction; Service of Process</w:t>
      </w:r>
      <w:r>
        <w:rPr>
          <w:rFonts w:ascii="Times New Roman" w:cs="Times New Roman" w:eastAsia="Times New Roman" w:hAnsi="Times New Roman"/>
          <w:sz w:val="18"/>
          <w:szCs w:val="18"/>
          <w:color w:val="auto"/>
        </w:rPr>
        <w:t>. This Indenture and the Securities shall be deemed to be contracts made under the law of the State of New York, and for all purposes shall be governed by and construed in accordance with the law of said State.</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131" w:name="page132"/>
    <w:bookmarkEnd w:id="13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irrevocably and unconditionally submits to the exclusive jurisdiction of any U.S. federal or New York State court located in the Borough of Manhattan, The City of New York over any suit, action or proceeding arising out of or relating to this Indenture or the Securities. The Company irrevocably and unconditionally waives, to the fullest extent permitted by applicable law, any objection to the laying of venue of any such suit, action or proceeding brought in any such court and any claim that any such suit, action or proceeding has been brought in an inconvenient forum. A final judgment in any such suit, action or proceeding brought in any such court shall be conclusive and binding upon the Company and may be enforced in any other courts to whose jurisdiction the Company is or may be subject, by suit upon judgment. The Company further agrees that nothing herein shall affect any Holder’s right to effect service of process in any other manner permitted by law or bring a suit action or proceeding (including a proceeding for enforcement of a judgment) in any other court or jurisdiction in accordance with applicable law.</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has appointed Cemex NY Corporation, 590 Madison Avenue, 27th Floor, New York, New York 10022, as its authorized agent (the “Authorized Agent”) upon which process may be served in any legal suit, action or proceeding arising out of or relating to this Indenture or the Securities which may be instituted in any U.S. federal or New York state court in the Borough of Manhattan, The City of New York, New York, and agrees that service of process upon such agent, and written notice, or notice in any other manner permitted by applicable law, of said service to the Company by the Person serving the same, shall be deemed in every respect effective service of process upon the Company in any such suit, action or proceeding and further designates its domicile, the domicile of the Authorized Agent specified above and any domicile the Authorized Agent may have in the future as its domicile to receive any notice hereunder (including service of process). If for any reason the Authorized Agent (or any successor agent for this purpose) shall cease to act as agent for service of process as provided above, the Company shall promptly appoint a successor agent for this purpose reasonably acceptable to the Trustee. The Company agrees to take any and all actions as may be necessary to maintain such designation and appointment of such agent in full force and effect.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16.12 </w:t>
      </w:r>
      <w:r>
        <w:rPr>
          <w:rFonts w:ascii="Times New Roman" w:cs="Times New Roman" w:eastAsia="Times New Roman" w:hAnsi="Times New Roman"/>
          <w:sz w:val="18"/>
          <w:szCs w:val="18"/>
          <w:u w:val="single" w:color="auto"/>
          <w:color w:val="auto"/>
        </w:rPr>
        <w:t>Currency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3"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Legal Tender is the sole currency of account and payment for all sums payable by the Company under or in connection with the Securities or this Indenture, including damages. Any amount received or recovered in currency other than U.S. Legal Tender in respect of the Securities (whether as a result of, or of the enforcement of, a judgment or order of a court of any jurisdiction, in the winding-up or dissolution of the Company or otherwise) by any Holder in respect of any sum expressed to be due to such Holder from the Company shall only constitute a discharge of them under the Securities and this Indenture only to the extent of the U.S. Legal Tender amount which the recipient is able to purchase with the amount so received or recovered in that other currency on the date of that receipt or recovery (or, if it is not practicable to make that purchase on that date, on the first date on which it is practicable to do so). If that U.S. Legal Tender amount is less than the U.S. Legal Tender amount expressed to be due to the recipient under the Securities or this Indenture, the Company shall indemnify and hold harmless the recipient, to the greatest extent permitted by law, against any loss or cost sustained by it in making any such purchase. For the purposes of this Section 16.12, it will be sufficient for the Holder to certify that it would have suffered a loss had an actual purchase of U.S. Legal Tender been made with the amount so received in that other currency on the date of receipt or recovery (or, if a purchase of U.S. Legal Tender on such date had not been practicable, on the first date on which it would have been practicable).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132" w:name="page133"/>
    <w:bookmarkEnd w:id="132"/>
    <w:p>
      <w:pPr>
        <w:jc w:val="both"/>
        <w:ind w:left="4" w:right="200" w:firstLine="987"/>
        <w:spacing w:after="0" w:line="258" w:lineRule="auto"/>
        <w:tabs>
          <w:tab w:leader="none" w:pos="125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indemnities of the Company contained in this Section 16.12, to the extent permitted by law: (i) constitute a separate and independent obligation from the other obligations of the Company under this Indenture and the Securities; (ii) shall give rise to a separate and independent cause of action against the Company; (iii) shall apply irrespective of any waiver granted by any Holder or the Trustee from time to time; and (iv) shall continue in full force and effect notwithstanding any other judgment, order, claim or proof of claim for a liquidated amount in respect of any sum due under the Securities or this Indenture or any other judgment or order.</w:t>
      </w:r>
    </w:p>
    <w:p>
      <w:pPr>
        <w:spacing w:after="0" w:line="183" w:lineRule="exact"/>
        <w:rPr>
          <w:sz w:val="20"/>
          <w:szCs w:val="20"/>
          <w:color w:val="auto"/>
        </w:rPr>
      </w:pPr>
    </w:p>
    <w:p>
      <w:pPr>
        <w:ind w:left="4" w:right="4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16.13 </w:t>
      </w:r>
      <w:r>
        <w:rPr>
          <w:rFonts w:ascii="Times New Roman" w:cs="Times New Roman" w:eastAsia="Times New Roman" w:hAnsi="Times New Roman"/>
          <w:sz w:val="17"/>
          <w:szCs w:val="17"/>
          <w:u w:val="single" w:color="auto"/>
          <w:color w:val="auto"/>
        </w:rPr>
        <w:t>Electronic Signatures</w:t>
      </w:r>
      <w:r>
        <w:rPr>
          <w:rFonts w:ascii="Times New Roman" w:cs="Times New Roman" w:eastAsia="Times New Roman" w:hAnsi="Times New Roman"/>
          <w:sz w:val="17"/>
          <w:szCs w:val="17"/>
          <w:color w:val="auto"/>
        </w:rPr>
        <w:t>. This Indenture and any certificate, agreement or other document to be signed in connection with this Indenture and the transactions contemplated hereby shall be valid, binding and enforceable against a party only when executed and delivered by an authorized individual on behalf of the party by means of (i) an original manual signature, (ii) a faxed, scanned or photocopied manual signature or</w:t>
      </w:r>
    </w:p>
    <w:p>
      <w:pPr>
        <w:spacing w:after="0" w:line="2" w:lineRule="exact"/>
        <w:rPr>
          <w:sz w:val="20"/>
          <w:szCs w:val="20"/>
          <w:color w:val="auto"/>
        </w:rPr>
      </w:pPr>
    </w:p>
    <w:p>
      <w:pPr>
        <w:ind w:left="4" w:right="120" w:hanging="4"/>
        <w:spacing w:after="0" w:line="267" w:lineRule="auto"/>
        <w:tabs>
          <w:tab w:leader="none" w:pos="31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this Indenture and any certificate, agreement or other document to be signed in connection with this Indenture and the transactions contemplated hereby, other than any Security or Global Security,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Each electronic signature (except in the case of any Security or Global Security)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(except in the case of any Security or Global Security),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 Notwithstanding anything herein to the contrary, the Trustee is under no obligation to agree to accept electronic signatures in any form or in any format unless expressly agreed to by the Trustee pursuant to reasonable procedures approved by the Trustee.</w:t>
      </w:r>
    </w:p>
    <w:p>
      <w:pPr>
        <w:spacing w:after="0" w:line="18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16.14 </w:t>
      </w:r>
      <w:r>
        <w:rPr>
          <w:rFonts w:ascii="Times New Roman" w:cs="Times New Roman" w:eastAsia="Times New Roman" w:hAnsi="Times New Roman"/>
          <w:sz w:val="18"/>
          <w:szCs w:val="18"/>
          <w:u w:val="single" w:color="auto"/>
          <w:color w:val="auto"/>
        </w:rPr>
        <w:t>Electronic Means</w:t>
      </w:r>
      <w:r>
        <w:rPr>
          <w:rFonts w:ascii="Times New Roman" w:cs="Times New Roman" w:eastAsia="Times New Roman" w:hAnsi="Times New Roman"/>
          <w:sz w:val="18"/>
          <w:szCs w:val="18"/>
          <w:color w:val="auto"/>
        </w:rPr>
        <w:t>. The Trustee shall have the right to accept and act upon instructions (“Instructions”) given pursuant to this Indenture and delivered using Electronic Means; provided, however, that the Company shall provide to the Trustee an incumbency certificate listing officers with the authority to provide such Instructions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133" w:name="page134"/>
    <w:bookmarkEnd w:id="133"/>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16.15 </w:t>
      </w:r>
      <w:r>
        <w:rPr>
          <w:rFonts w:ascii="Times New Roman" w:cs="Times New Roman" w:eastAsia="Times New Roman" w:hAnsi="Times New Roman"/>
          <w:sz w:val="18"/>
          <w:szCs w:val="18"/>
          <w:u w:val="single" w:color="auto"/>
          <w:color w:val="auto"/>
        </w:rPr>
        <w:t>Foreign Account Tax Compliance Act</w:t>
      </w:r>
      <w:r>
        <w:rPr>
          <w:rFonts w:ascii="Times New Roman" w:cs="Times New Roman" w:eastAsia="Times New Roman" w:hAnsi="Times New Roman"/>
          <w:sz w:val="18"/>
          <w:szCs w:val="18"/>
          <w:color w:val="auto"/>
        </w:rPr>
        <w:t>. In order to comply with applicable tax laws, rules and regulations (inclusive of directives, guidelines and interpretations promulgated by competent authorities) in effect from time to time (“Applicable Tax Law”), the Company agrees (i) to provide to the Trustee information available to the Company about Holders or other applicable parties and/or transactions (including any modification to the terms of such transactions) so the Trustee can determine whether it has tax related obligations under Applicable Tax Law and (ii) that the Trustee shall be entitled to make any withholding or deduction from payments under this Indenture to the extent necessary to comply with Applicable Tax Law for which the Trustee shall not have any liability. The terms of this Section 16.14 shall survive the termination of this Indenture.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Cemex, S.A.B. de C.V.,</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/s/Fernando José Reiter Landa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Fernando José Reiter Landa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19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Melissa Mathews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Melissa Mathews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10580"/>
          </w:cols>
          <w:pgMar w:left="880" w:top="270" w:right="4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Cemex, S.A.B. de C.V.,</w:t>
      </w:r>
    </w:p>
    <w:p>
      <w:pPr>
        <w:spacing w:after="0" w:line="2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as Company</w:t>
      </w:r>
    </w:p>
    <w:p>
      <w:pPr>
        <w:spacing w:after="0" w:line="2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Cemex Corp.,</w:t>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as Guarantor</w:t>
      </w:r>
    </w:p>
    <w:p>
      <w:pPr>
        <w:spacing w:after="0" w:line="2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i w:val="1"/>
          <w:i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241300</wp:posOffset>
            </wp:positionV>
            <wp:extent cx="1474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UPPLEMENTAL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NDENTURE</w:t>
      </w:r>
    </w:p>
    <w:p>
      <w:pPr>
        <w:spacing w:after="0" w:line="2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i w:val="1"/>
          <w:iCs w:val="1"/>
          <w:color w:val="auto"/>
        </w:rPr>
        <w:t>Dated as of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250190</wp:posOffset>
            </wp:positionV>
            <wp:extent cx="1474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5.750%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ONE BASE INDENTURE AND DEFINITIONS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 Provisions of the Base Indenture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 Definitions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TWO GENERAL TERMS AND CONDITIONS OF THE NOTES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 Designation, Principal Amount and Interest Rate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 Denominations; Issuable in Series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 Forms; Terms and Conditions in Forms.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THREE NOTE GUARANTEE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 Note Guarantee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 No Subrogation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 Limitation on Liability.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 Release and Discharge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FOUR COVENANTS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 Limitation on Liens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 Reports to 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 Change of Control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 Payment of Additional Amounts.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4.05 Listing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FIVE LIMITATION ON MERGER, CONSOLIDATION AND SALE OF ASSETS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 Limitation on Merger, Consolidation and Sale of Assets.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SIX EVENTS OF DEFAULT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 Acceleration and Rescission.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SEVEN OPTIONAL REDEMPTION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 Optional Redemption by the Company.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 Optional Redemption Procedures.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EIGHT AMENDMENTS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 Without Consent of 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 With Consent of 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NINE DEFEASANCE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 Legal Defeasance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 Covenant Defeasance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 Exercising Legal Defeasance and Covenant Defeasance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TEN MISCELLANEOUS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10.01 Ratification of Base Indenture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10.02 Trust Indenture Act Controls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10.03 Effects of Headings and Table of Contents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10.04 Successors and Assigns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10.05 Separability Clause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10.06 Benefits of Indenture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10.07 Counterparts Originals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10.08 Consent to Service; Jurisdiction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10.09 Governing Law; Waiver of Jury Trial</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Section 10.10</w:t>
            </w:r>
          </w:p>
        </w:tc>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Indemnity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10.11 Certain Matters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Section 10.12</w:t>
            </w:r>
          </w:p>
        </w:tc>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 Signatures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Section 10.13</w:t>
            </w:r>
          </w:p>
        </w:tc>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 Means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A                  Form of 2036 Notes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38" w:name="page139"/>
    <w:bookmarkEnd w:id="138"/>
    <w:p>
      <w:pPr>
        <w:ind w:left="4" w:right="4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SUPPLEMENTAL INDENTURE, dated as of June 5, 2026 (this “</w:t>
      </w:r>
      <w:r>
        <w:rPr>
          <w:rFonts w:ascii="Times New Roman" w:cs="Times New Roman" w:eastAsia="Times New Roman" w:hAnsi="Times New Roman"/>
          <w:sz w:val="17"/>
          <w:szCs w:val="17"/>
          <w:u w:val="single" w:color="auto"/>
          <w:color w:val="auto"/>
        </w:rPr>
        <w:t>First Supplemental Indenture</w:t>
      </w:r>
      <w:r>
        <w:rPr>
          <w:rFonts w:ascii="Times New Roman" w:cs="Times New Roman" w:eastAsia="Times New Roman" w:hAnsi="Times New Roman"/>
          <w:sz w:val="17"/>
          <w:szCs w:val="17"/>
          <w:color w:val="auto"/>
        </w:rPr>
        <w:t xml:space="preserve">”), among (i) Cemex, S.A.B. de C.V., a </w:t>
      </w:r>
      <w:r>
        <w:rPr>
          <w:rFonts w:ascii="Times New Roman" w:cs="Times New Roman" w:eastAsia="Times New Roman" w:hAnsi="Times New Roman"/>
          <w:sz w:val="17"/>
          <w:szCs w:val="17"/>
          <w:i w:val="1"/>
          <w:iCs w:val="1"/>
          <w:color w:val="auto"/>
        </w:rPr>
        <w:t>sociedad anónima bursátil de capital variable</w:t>
      </w:r>
      <w:r>
        <w:rPr>
          <w:rFonts w:ascii="Times New Roman" w:cs="Times New Roman" w:eastAsia="Times New Roman" w:hAnsi="Times New Roman"/>
          <w:sz w:val="17"/>
          <w:szCs w:val="17"/>
          <w:color w:val="auto"/>
        </w:rPr>
        <w:t xml:space="preserve"> organized and existing under the laws of the United Mexican States (“</w:t>
      </w:r>
      <w:r>
        <w:rPr>
          <w:rFonts w:ascii="Times New Roman" w:cs="Times New Roman" w:eastAsia="Times New Roman" w:hAnsi="Times New Roman"/>
          <w:sz w:val="17"/>
          <w:szCs w:val="17"/>
          <w:u w:val="single" w:color="auto"/>
          <w:color w:val="auto"/>
        </w:rPr>
        <w:t>Mexico</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having its principal office at Avenida Ricardo Margáin Zozaya #325, Colonia Valle del Campestre, San Pedro Garza García, Nuevo León, Mexico;</w:t>
      </w:r>
    </w:p>
    <w:p>
      <w:pPr>
        <w:spacing w:after="0" w:line="2" w:lineRule="exact"/>
        <w:rPr>
          <w:sz w:val="20"/>
          <w:szCs w:val="20"/>
          <w:color w:val="auto"/>
        </w:rPr>
      </w:pPr>
    </w:p>
    <w:p>
      <w:pPr>
        <w:ind w:left="4" w:right="160" w:hanging="4"/>
        <w:spacing w:after="0" w:line="255"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Cemex Corp., as guarantor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(iii) The Bank of New York Mellon, a corporation duly organized and existing under the laws of the State of New York authorized to conduct a banking business,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to the Indenture, dated as of June 5, 2026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together with this First Supplemental Indenture,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the Trustee.</w:t>
      </w:r>
    </w:p>
    <w:p>
      <w:pPr>
        <w:spacing w:after="0" w:line="1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WHEREAS, Section 3.01 of the Base Indenture provides for the issuance from time to time thereunder, in series, of Securities of the Company, and Section 14.01 of the Base Indenture provides for the establishment of the form or terms of Securities issued thereunder through one or more supplemental indentures;</w:t>
      </w:r>
    </w:p>
    <w:p>
      <w:pPr>
        <w:spacing w:after="0" w:line="176" w:lineRule="exact"/>
        <w:rPr>
          <w:sz w:val="20"/>
          <w:szCs w:val="20"/>
          <w:color w:val="auto"/>
        </w:rPr>
      </w:pPr>
    </w:p>
    <w:p>
      <w:pPr>
        <w:ind w:left="4" w:right="220" w:firstLine="991"/>
        <w:spacing w:after="0" w:line="261" w:lineRule="auto"/>
        <w:rPr>
          <w:sz w:val="20"/>
          <w:szCs w:val="20"/>
          <w:color w:val="auto"/>
        </w:rPr>
      </w:pPr>
      <w:r>
        <w:rPr>
          <w:rFonts w:ascii="Times New Roman" w:cs="Times New Roman" w:eastAsia="Times New Roman" w:hAnsi="Times New Roman"/>
          <w:sz w:val="18"/>
          <w:szCs w:val="18"/>
          <w:color w:val="auto"/>
        </w:rPr>
        <w:t>WHEREAS, the Company desires by this First Supplemental Indenture to create a series of Securities to be issued under the Base Indenture, as supplemented by this First Supplemental Indenture, and to be known as the Company’s “5.750% Senior Notes due 2036”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which are to be initially limited in aggregate principal amount as specified in this First Supplemental Indenture and the terms and provisions of which are to be as specified in this First Supplemental Indenture;</w:t>
      </w:r>
    </w:p>
    <w:p>
      <w:pPr>
        <w:spacing w:after="0" w:line="180"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WHEREAS, the Company and the Guarantor have duly authorized the execution and delivery of this First Supplemental Indenture to establish the Notes as a series of Securities under the Base Indenture and to provide for, among other things, the issuance and form of the Notes and the terms, provisions and conditions thereof, covenants for purposes of the Notes and the Holders thereof and the guarantees of the Guarantor with respect to the Company’s Obligations under the Indenture and the Notes; and</w:t>
      </w:r>
    </w:p>
    <w:p>
      <w:pPr>
        <w:spacing w:after="0" w:line="180"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First Supplemental Indenture a valid agreement of the Company and the Guarantor, in accordance with its terms, have been done.</w:t>
      </w:r>
    </w:p>
    <w:p>
      <w:pPr>
        <w:spacing w:after="0" w:line="16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purchase and acceptance of the Notes by the Holders thereof and for the purpose of setting forth, as provided in the Base Indenture, the form of the Notes and the terms, provisions, conditions and guarantees thereof, the Company and the Guarantor covenant and agree with the Trustee as follows:</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BASE INDENTURE AND DEFINITIONS</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Provisions of the Base Indenture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Except insofar as herein otherwise expressly provided, all the definitions, provisions, terms and conditions of the Base Indenture shall remain in full force and effect. The Base Indenture, as supplemented by this First Supplemental Indenture, is in all respects ratified and confirmed, and the Base Indenture and this First Supplemental Indenture shall be read, taken and considered as one and the same instrument for all purposes and every Holder of Notes authenticated and delivered under this First Supplemental Indenture shall be bound hereby. This First Supplemental Indenture shall not modify, amend or otherwise affect the Base Indenture insofar as it relates to any other series of Securities or modify, amend or otherwise affect in any manner the terms and conditions of the Securities of any other series. Notwithstanding any other provision of this Section 1.01, the Base Indenture or this First Supplemental Indenture to the contrary, to the extent any provisions of or definitions in this First Supplemental Indenture or any Note issued hereunder shall conflict with any provision of or definition in the Base Indenture, the provisions of and definitions in this First Supplemental Indenture shall govern, including without limitation the definitions set forth in Section 1.02, the terms and conditions of the Notes set forth in Article Two and the provisions of Article Four of this First Supplemental Indenture.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70" w:right="459" w:bottom="1440" w:gutter="0" w:footer="0" w:header="0"/>
        </w:sectPr>
      </w:pPr>
    </w:p>
    <w:bookmarkStart w:id="139" w:name="page140"/>
    <w:bookmarkEnd w:id="1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For all purposes of the Base Indenture, this First Supplemental Indenture and the Notes, except as otherwise expressly provided or unless the subject matter or context otherwise requires: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any reference to an “Article” or a “Section” refers to an Article or Section, as the case may be, of this First Supplemental Indenture;</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(b)  the words “herein,” “hereof” and “hereunder” and other words of similar import refer to this First Supplemental Indenture as a whole and not to any particular Article, Section or other subdivision;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all terms used in this First Supplemental Indenture that are not defined herein shall have the meanings assigned to them in the Base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(d)  the term “Securities,” as defined in the Base Indenture and as used therein (including in any definition therein), shall be deemed to include or refer to, as applicable, the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the following terms have the meanings given to them in this Section 1.02(e):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has the meaning set forth in Section 4.04(b)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has the meaning set forth in Section 2.02(b) of this First Supplemental Indenture.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who directly or indirectly through one or more intermediaries controls, or is controlled by, or is under common control with, such specified Person. The term “control” means the possession, directly or indirectly, of the power to direct or cause the direction of the management and policies of a Person, whether through the ownership of voting securities, by contract or otherwise. For purposes of this definition, the terms “controlling,” “controlled by” and “under common control with” have correlative meanings.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has the meaning set forth in Section 10.08 of this First Supplemental Indenture.</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Mexico City or London are authorized or required by law, regulation or other governmental action to remain closed.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980" w:right="380" w:firstLine="408"/>
        <w:spacing w:after="0" w:line="282" w:lineRule="auto"/>
        <w:tabs>
          <w:tab w:leader="none" w:pos="16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Person that is a corporation, any and all shares, interests, participations or other equivalents (however designated and whether or not voting) of corporate stock, including each class of Common Stock and Preferred Stock of such Person;</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Person that is not a corporation, any and all partnership or other equity or ownership interests of such Person;</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6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warrants, rights or options to purchase any of the instruments or interests referred to in clause (1) or (2) above, but excluding any Convertible Indebtedness.</w:t>
      </w:r>
    </w:p>
    <w:p>
      <w:pPr>
        <w:spacing w:after="0" w:line="162" w:lineRule="exact"/>
        <w:rPr>
          <w:sz w:val="20"/>
          <w:szCs w:val="20"/>
          <w:color w:val="auto"/>
        </w:rPr>
      </w:pPr>
    </w:p>
    <w:p>
      <w:pPr>
        <w:jc w:val="both"/>
        <w:ind w:right="6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Capitalized Lease Obligation</w:t>
      </w:r>
      <w:r>
        <w:rPr>
          <w:rFonts w:ascii="Times New Roman" w:cs="Times New Roman" w:eastAsia="Times New Roman" w:hAnsi="Times New Roman"/>
          <w:sz w:val="17"/>
          <w:szCs w:val="17"/>
          <w:color w:val="auto"/>
        </w:rPr>
        <w:t>” means, as to any Person, at the time any determination is to be made, the amount of the liability in respect of a capital lease that would at that time be required to be capitalized on a balance sheet prepared in accordance with GAAP; provided that, the amount of obligations attributable to any Capitalized Lease Obligations shall be the amount thereof accounted for as a liability in accordance with GAAP.</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8" w:right="479" w:bottom="1440" w:gutter="0" w:footer="0" w:header="0"/>
        </w:sectPr>
      </w:pPr>
    </w:p>
    <w:bookmarkStart w:id="140" w:name="page141"/>
    <w:bookmarkEnd w:id="140"/>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(1) the consummation of a direct or indirect sale, lease, transfer, conveyance or other disposition (other than by way of merger or consolidation), in one or a series of related transactions, of all or substantially all of the assets of the Company and its Subsidiaries taken as a whole to any “person” (as that term is used in Section 13(d) of the Exchange Act), or (2) the Company becomes aware (by way of a report or any other filing pursuant to Section 13(d) of the Exchange Act, proxy, vote, written notice or otherwise) that any “person” or “group” (as such terms are used in Sections 13(d) and 14(d) of the Exchange Act), other than the Company, its Subsidiaries or any employee benefit plan of the Company or any of its Subsidiaries, has become the “beneficial owner” (within the meaning of Rule 13d-3 under the Exchange Act) of more than 50% in voting power of the Company’s outstanding Voting Stock. Notwithstanding the foregoing, a transaction will not be deemed to constitute a Change of Control if (1) the Company becomes a direct or indirect Wholly Owned Subsidiary of a holding company and (2)(A)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or “group” (other than a holding company satisfying the requirements of this sentence) has beneficial ownership of more than 50% in voting power of the Voting Stock of such holding company.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has the meaning set forth in Section 4.03(a)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has the meaning set forth in Section 4.03(b)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has the meaning set forth in Section 4.03(b)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Triggering Event</w:t>
      </w:r>
      <w:r>
        <w:rPr>
          <w:rFonts w:ascii="Times New Roman" w:cs="Times New Roman" w:eastAsia="Times New Roman" w:hAnsi="Times New Roman"/>
          <w:sz w:val="18"/>
          <w:szCs w:val="18"/>
          <w:color w:val="auto"/>
        </w:rPr>
        <w:t>” means the occurrence of both a Change of Control and a Rating Downgrade Event.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has the meaning set forth in Section 4.04(b)(viii)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Price Purchase Agreement</w:t>
      </w:r>
      <w:r>
        <w:rPr>
          <w:rFonts w:ascii="Times New Roman" w:cs="Times New Roman" w:eastAsia="Times New Roman" w:hAnsi="Times New Roman"/>
          <w:sz w:val="18"/>
          <w:szCs w:val="18"/>
          <w:color w:val="auto"/>
        </w:rPr>
        <w:t>” means, in respect of any Person, any forward contract, commodity swap agreement, commodity option agreement or other similar agreement or arrangement designed to protect such Person from fluctuations in commodity prices.</w:t>
      </w:r>
    </w:p>
    <w:p>
      <w:pPr>
        <w:spacing w:after="0" w:line="162"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any Person, means any and all shares, interests or other participations in, and other equivalents (however designated and whether voting or non-voting) of such Person’s common equity interests, whether outstanding on the Issue Date or issued after the Issue Date, and includes, without limitation, all series and classes of such common equity interests. For the avoidance of doubt, “Common Stock” of the Company shall be deemed to include the Company’s ordinary participation certificates (</w:t>
      </w:r>
      <w:r>
        <w:rPr>
          <w:rFonts w:ascii="Times New Roman" w:cs="Times New Roman" w:eastAsia="Times New Roman" w:hAnsi="Times New Roman"/>
          <w:sz w:val="17"/>
          <w:szCs w:val="17"/>
          <w:i w:val="1"/>
          <w:iCs w:val="1"/>
          <w:color w:val="auto"/>
        </w:rPr>
        <w:t>certificados de participación ordinaria</w:t>
      </w:r>
      <w:r>
        <w:rPr>
          <w:rFonts w:ascii="Times New Roman" w:cs="Times New Roman" w:eastAsia="Times New Roman" w:hAnsi="Times New Roman"/>
          <w:sz w:val="17"/>
          <w:szCs w:val="17"/>
          <w:color w:val="auto"/>
        </w:rPr>
        <w:t>) and American depositary receipts.</w:t>
      </w:r>
    </w:p>
    <w:p>
      <w:pPr>
        <w:spacing w:after="0" w:line="164"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for any Person at any time, the total consolidated assets of such Person and its Subsidiaries as set forth on the balance sheet as of the most recent fiscal quarter of such Person, prepared in accordance with GAAP, less Intangible Assets.</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Indebtedness</w:t>
      </w:r>
      <w:r>
        <w:rPr>
          <w:rFonts w:ascii="Times New Roman" w:cs="Times New Roman" w:eastAsia="Times New Roman" w:hAnsi="Times New Roman"/>
          <w:sz w:val="18"/>
          <w:szCs w:val="18"/>
          <w:color w:val="auto"/>
        </w:rPr>
        <w:t>” means any Indebtedness the terms of which provide for conversion into, or exchange for, Common Stock of the Company, cash in lieu thereof and/or a combination of Common Stock of the Company and cash in lieu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set forth in Section 9.02 of this First Supplemental Indenture.</w:t>
      </w:r>
    </w:p>
    <w:p>
      <w:pPr>
        <w:spacing w:after="0" w:line="225"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Currency Agreement</w:t>
      </w:r>
      <w:r>
        <w:rPr>
          <w:rFonts w:ascii="Times New Roman" w:cs="Times New Roman" w:eastAsia="Times New Roman" w:hAnsi="Times New Roman"/>
          <w:sz w:val="18"/>
          <w:szCs w:val="18"/>
          <w:color w:val="auto"/>
        </w:rPr>
        <w:t>” means, in respect of any Person, any foreign exchange contract, currency swap agreement or other similar agreement as to which such Person is a party designed to hedge foreign currency risk of such Person.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41" w:name="page142"/>
    <w:bookmarkEnd w:id="141"/>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 event or condition the occurrence of which is, or with the lapse of time or the giving of notice or both would be, an Event of Default.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means, with respect to any property, any sale, lease, Sale and Leaseback Transaction, assignment, conveyance, transfer or other disposition thereof.</w:t>
      </w:r>
    </w:p>
    <w:p>
      <w:pPr>
        <w:spacing w:after="0" w:line="16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means that portion of any Capital Stock which, by its terms (or by the terms of any security into which it is convertible or for which it is exchangeable at the option of the Holder thereof), or upon the happening of any event, matures or is mandatorily redeemable, pursuant to a sinking fund obligation or otherwise, or is redeemable at the sole option of the Holder thereof, in any case, on or prior to the 91st day after the final maturity date of the Notes, but excluding with respect to Mexican companies, any shares of such Mexican company that are part of the variable portion of its Capital Stock and that are redeemable under the Mexican General Law of Business Corporations (</w:t>
      </w:r>
      <w:r>
        <w:rPr>
          <w:rFonts w:ascii="Times New Roman" w:cs="Times New Roman" w:eastAsia="Times New Roman" w:hAnsi="Times New Roman"/>
          <w:sz w:val="18"/>
          <w:szCs w:val="18"/>
          <w:i w:val="1"/>
          <w:iCs w:val="1"/>
          <w:color w:val="auto"/>
        </w:rPr>
        <w:t>Ley General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Sociedades Mercantiles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Means</w:t>
      </w:r>
      <w:r>
        <w:rPr>
          <w:rFonts w:ascii="Times New Roman" w:cs="Times New Roman" w:eastAsia="Times New Roman" w:hAnsi="Times New Roman"/>
          <w:sz w:val="18"/>
          <w:szCs w:val="18"/>
          <w:color w:val="auto"/>
        </w:rPr>
        <w:t>”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Derivative Agreement</w:t>
      </w:r>
      <w:r>
        <w:rPr>
          <w:rFonts w:ascii="Times New Roman" w:cs="Times New Roman" w:eastAsia="Times New Roman" w:hAnsi="Times New Roman"/>
          <w:sz w:val="18"/>
          <w:szCs w:val="18"/>
          <w:color w:val="auto"/>
        </w:rPr>
        <w:t>” means any equity derivative agreement referencing the Common Stock of the Company entered into in connection with any Convertible Indebtedness, including, but not limited to, any bond hedge, warrant or capped call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statute or statutes thereto.</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the price (after taking into account any liabilities relating to such assets) which could be negotiated in an arm’s length free market transaction, for cash, between a willing seller and a willing and able buyer, neither of which is under any compulsion to complete the transaction. Fair Market Value shall be determined, except as otherwise provided, by the Company in good faith.</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has the meaning set forth in Section 4.04(b)(viii)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and any successor to its rating agency business.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IFRS as in effect on April 24, 2019. At any time, and from time to time, after the Issue Date, the Company may elect to apply IFRS as in effect at such time in lieu of GAAP and, upon any such election, references herein to GAAP shall thereafter be construed to mean IFRS as in effect on the date of such election; provided that any such election, once made, shall be irrevocable. The Company shall give notice of any such election to the Trustee.</w:t>
      </w:r>
    </w:p>
    <w:p>
      <w:pPr>
        <w:spacing w:after="0" w:line="180"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means a Note that evidences all or part of the Notes and is authenticated and delivered to, and registered in the name of, The Depository Trust Company, or its nominee as the Depositary for such Notes or a nominee thereof, and which shall be considered a “Global Security” under the Base Indenture.</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 Person: (1) 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 (2) entered into for purposes of assuring in any other manner the obligee of such Indebtedness of the payment thereof or to protect such obligee against loss in respect thereof, in whole or in part; provided that “Guarantee” shall not include endorsements for collection or deposit in the ordinary course of business. “Guarantee” used as a verb has a corresponding meaning.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42" w:name="page143"/>
    <w:bookmarkEnd w:id="142"/>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any Interest Rate Agreement, Currency Agreement, Commodity Price Purchase Agreement, Transportation Agreement, or Equity Derivative Agreement (or any combination thereof), in each case, not entered into for speculative purposes.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the obligations of any Person pursuant to any Hedging Agreement.</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the International Financial Reporting Standards (Accounting Standards), as issued by the International Accounting Standards Board.</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w:t>
      </w:r>
      <w:r>
        <w:rPr>
          <w:rFonts w:ascii="Times New Roman" w:cs="Times New Roman" w:eastAsia="Times New Roman" w:hAnsi="Times New Roman"/>
          <w:sz w:val="18"/>
          <w:szCs w:val="18"/>
          <w:color w:val="auto"/>
        </w:rPr>
        <w:t>” means, with respect to any Indebtedness or other obligation of any Person, to create, issue, incur (including by conversion, exchange or otherwise), assume, Guarantee or otherwise become liable in respect of such Indebtedness or other obligation on the balance sheet of such Person (and “Incurrence,” “Incurred” and “Incurring” shall have meanings correlative to the preceding).</w:t>
      </w:r>
    </w:p>
    <w:p>
      <w:pPr>
        <w:spacing w:after="0" w:line="176"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(1) the principal amount (or, if less, the accreted value) of all obligations of such Person for borrowed money; (2) the principal amount (or, if less, the accreted value) of all obligations of such Person evidenced by bonds, debentures, notes or other similar instruments, including any perpetual bonds, debenture notes or similar instruments without regard to maturity date; (3) all Capitalized Lease Obligations of such Person; (4) all obligations of such Person issued or assumed as the deferred purchase price of property, all conditional sale obligations and all payment obligations under any title retention agreement (but excluding trade accounts payable and other accrued liabilities accounted for as current liabilities (in accordance with GAAP) arising in the ordinary course of business) to the extent of any reimbursement obligations in respect thereof; (5) reimbursement obligations with respect to letters of credit, banker’s acceptances or similar credit transactions; (6) Guarantees and other contingent obligations of such Person in respect of Indebtedness referred to in clauses (1) through (5) above and clauses (8) through (10) below; (7) all Indebtedness of any other Person of the type referred to in clauses (1) through (6) which is secured by any Lien on any property or asset of the first Person, the amount of such Indebtedness being deemed to be the lesser of the Fair Market Value of such property or asset or the amount of the Indebtedness so secured; (8) all obligations under Hedging Agreements or other derivatives of such Person; (9) all liabilities (contingent or otherwise) of such Person in connection with a sale or other disposition of accounts receivable and related assets (not including Qualified Receivables Transactions), irrespective of their treatment under GAAP or IFRS; and (10) all Disqualified Capital Stock issued by such Person with the amount of Indebtedness represented by such Disqualified Capital Stock being equal to the greater of its voluntary or involuntary liquidation preference and its maximum fixed repurchase price, but excluding accrued dividends, if any; provided that: (a) if the Disqualified Capital Stock does not have a fixed repurchase price, such maximum fixed repurchase price shall be calculated in accordance with the terms of the Disqualified Capital Stock as if the Disqualified Capital Stock were purchased on any date on which Indebtedness shall be required to be determined pursuant to the Indenture, and (b) if the maximum fixed repurchase price is based upon, or measured by, the Fair Market Value of the Disqualified Capital Stock, the Fair Market Value shall be the Fair Market Value thereof.</w:t>
      </w:r>
    </w:p>
    <w:p>
      <w:pPr>
        <w:spacing w:after="0" w:line="191"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means with respect to any Person all unamortized debt discount and expense, unamortized deferred charges, goodwill, patents, trademarks, service marks, trade names, copyrights and all other items which would be treated as intangibles on the consolidated balance sheet of such Person prepared in accordance with GAAP.</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Agreement</w:t>
      </w:r>
      <w:r>
        <w:rPr>
          <w:rFonts w:ascii="Times New Roman" w:cs="Times New Roman" w:eastAsia="Times New Roman" w:hAnsi="Times New Roman"/>
          <w:sz w:val="18"/>
          <w:szCs w:val="18"/>
          <w:color w:val="auto"/>
        </w:rPr>
        <w:t>” of any Person means any interest rate protection agreement (including, without limitation, interest rate swaps, caps, floors, collars, derivative instruments and similar agreements) and/or other types of hedging agreements designed to hedge interest rate risk of such Person.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each June 5 and December 5 of each year.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June 5, 2026.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has the meaning set forth in Section 9.01 of this First Supplemental Indenture.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43" w:name="page144"/>
    <w:bookmarkEnd w:id="143"/>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The Company or any of its Subsidiaries shall be deemed to own, subject to a Lien, any asset that it has acquired or holds subject to the interest of a vendor or lessor under any conditional sale agreement, Capitalized Lease Obligations or other title retention lease relating to such asset, or any account receivable transferred by it with recourse (including any such transfer subject to a holdback or similar arrangement that effectively imposes the risk of collectability on the transferor).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means any guarantee of the Company’s Obligations under the Notes and the Indenture by the Guarantor pursuant to such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right="5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with respect to any Indebtedness, any principal, interest (including, without limitation, Post-Petition Interest), penalties, fees, indemnifications, reimbursements, damages, and other liabilities payable under the documentation governing such Indebtedness, including in the case of the Notes and the Note Guarantee and the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March 5, 2036 (the date that is three months prior to the maturity date of the Notes).</w:t>
      </w:r>
    </w:p>
    <w:p>
      <w:pPr>
        <w:spacing w:after="0" w:line="225"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limited partnership, corporation, company, limited liability company, unincorporated organization, trust or joint venture, or a governmental agency or political subdivision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jc w:val="both"/>
        <w:ind w:left="980" w:right="120" w:firstLine="408"/>
        <w:spacing w:after="0" w:line="261" w:lineRule="auto"/>
        <w:tabs>
          <w:tab w:leader="none" w:pos="16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and Liens of carriers, warehousemen, mechanics and materialmen incurred in the ordinary course of business for sums not yet due or the payment of which is being contested in good faith by appropriate proceedings promptly initiated and diligently conducted and for which such reserves or other appropriate provision, if any, as shall be required by GAAP shall have been made and any other Liens created by operation of law;</w:t>
      </w:r>
    </w:p>
    <w:p>
      <w:pPr>
        <w:spacing w:after="0" w:line="71"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in the ordinary course of business in connection with (i) workers’ compensation, unemployment insurance and other types of social security or (ii) other insurance maintained by the Company and its Subsidiaries;</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and other governmental charges the payment of which is being contested in good faith by appropriate proceedings promptly initiated and diligently conducted and for which such reserves or other appropriate provision, if any, as shall be required by GAAP shall have been made;</w:t>
      </w:r>
    </w:p>
    <w:p>
      <w:pPr>
        <w:spacing w:after="0" w:line="67" w:lineRule="exact"/>
        <w:rPr>
          <w:rFonts w:ascii="Times New Roman" w:cs="Times New Roman" w:eastAsia="Times New Roman" w:hAnsi="Times New Roman"/>
          <w:sz w:val="18"/>
          <w:szCs w:val="18"/>
          <w:color w:val="auto"/>
        </w:rPr>
      </w:pPr>
    </w:p>
    <w:p>
      <w:pPr>
        <w:ind w:left="980" w:right="220" w:firstLine="408"/>
        <w:spacing w:after="0" w:line="266" w:lineRule="auto"/>
        <w:tabs>
          <w:tab w:leader="none" w:pos="16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attachment or judgment Lien, unless the judgment it secures shall not, within 60 days after the entry thereof, have been discharged or execution thereof stayed pending appeal, or shall not have been discharged within 60 days after the expiration of any such stay;</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Issue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44" w:name="page145"/>
    <w:bookmarkEnd w:id="144"/>
    <w:p>
      <w:pPr>
        <w:ind w:left="980" w:firstLine="408"/>
        <w:spacing w:after="0" w:line="254" w:lineRule="auto"/>
        <w:tabs>
          <w:tab w:leader="none" w:pos="16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any Lien on property acquired by the Company or any of its Subsidiaries after the Issue Date that was existing on the date of acquisition of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was not incurred in anticipation of such acquisition; and (ii) any Lien created to secure all or any part of the purchase price, or to secure Indebtedness incurred or assumed to pay all or any part of the purchase price, of property acquired by the Company or any of its Subsidiaries after the Issue Date; provided, further, that (A) any such Lien permitted pursuant to this clause (6) shall be confined solely to the item or items of property so acquired (including, in the case of any acquisition of a corporation through the acquisition of 51% or more of the voting stock of such corporation, the stock and assets of any acquired Subsidiary or acquiring Subsidiary) and, if required by the terms of the instrument originally creating such Lien, other property which is an improvement to, or is acquired for specific use with, such acquired property; and (B) if applicable, any such Lien shall be created within nine months after, in the case of property, its acquisition, or, in the case of improvements, their completion;</w:t>
      </w:r>
    </w:p>
    <w:p>
      <w:pPr>
        <w:spacing w:after="0" w:line="78"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Liens renewing, extending or refunding any Lien permitted by clause (6)(i)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is not extended to other property (or, instead, is only extended to equivalent property) and the principal amount of Indebtedness secured by such Lien immediately prior thereto is not increased or the maturity thereof reduced, except that the principal amount secured by any such Lien in respect of:</w:t>
      </w:r>
    </w:p>
    <w:p>
      <w:pPr>
        <w:spacing w:after="0" w:line="74" w:lineRule="exact"/>
        <w:rPr>
          <w:sz w:val="20"/>
          <w:szCs w:val="20"/>
          <w:color w:val="auto"/>
        </w:rPr>
      </w:pPr>
    </w:p>
    <w:p>
      <w:pPr>
        <w:ind w:left="1420" w:right="400" w:firstLine="383"/>
        <w:spacing w:after="0" w:line="282" w:lineRule="auto"/>
        <w:rPr>
          <w:sz w:val="20"/>
          <w:szCs w:val="20"/>
          <w:color w:val="auto"/>
        </w:rPr>
      </w:pPr>
      <w:r>
        <w:rPr>
          <w:rFonts w:ascii="Times New Roman" w:cs="Times New Roman" w:eastAsia="Times New Roman" w:hAnsi="Times New Roman"/>
          <w:sz w:val="18"/>
          <w:szCs w:val="18"/>
          <w:color w:val="auto"/>
        </w:rPr>
        <w:t>(a)  Hedging Obligations or other derivatives where there are fluctuations in mark-to-market exposures of those Hedging Obligations or other derivatives, and</w:t>
      </w:r>
    </w:p>
    <w:p>
      <w:pPr>
        <w:spacing w:after="0" w:line="52" w:lineRule="exact"/>
        <w:rPr>
          <w:sz w:val="20"/>
          <w:szCs w:val="20"/>
          <w:color w:val="auto"/>
        </w:rPr>
      </w:pPr>
    </w:p>
    <w:p>
      <w:pPr>
        <w:jc w:val="both"/>
        <w:ind w:left="1420" w:right="80" w:firstLine="383"/>
        <w:spacing w:after="0" w:line="267" w:lineRule="auto"/>
        <w:rPr>
          <w:sz w:val="20"/>
          <w:szCs w:val="20"/>
          <w:color w:val="auto"/>
        </w:rPr>
      </w:pPr>
      <w:r>
        <w:rPr>
          <w:rFonts w:ascii="Times New Roman" w:cs="Times New Roman" w:eastAsia="Times New Roman" w:hAnsi="Times New Roman"/>
          <w:sz w:val="18"/>
          <w:szCs w:val="18"/>
          <w:color w:val="auto"/>
        </w:rPr>
        <w:t>(b)  Indebtedness consisting of any “</w:t>
      </w:r>
      <w:r>
        <w:rPr>
          <w:rFonts w:ascii="Times New Roman" w:cs="Times New Roman" w:eastAsia="Times New Roman" w:hAnsi="Times New Roman"/>
          <w:sz w:val="18"/>
          <w:szCs w:val="18"/>
          <w:i w:val="1"/>
          <w:iCs w:val="1"/>
          <w:color w:val="auto"/>
        </w:rPr>
        <w:t>Certificados Bursátiles de Largo Plazo</w:t>
      </w:r>
      <w:r>
        <w:rPr>
          <w:rFonts w:ascii="Times New Roman" w:cs="Times New Roman" w:eastAsia="Times New Roman" w:hAnsi="Times New Roman"/>
          <w:sz w:val="18"/>
          <w:szCs w:val="18"/>
          <w:color w:val="auto"/>
        </w:rPr>
        <w:t>” or any refinancing thereof, where principal may increase by virtue of capitalization of interest, may be increased by the amount of such fluctuations, capitalizations or drawings, as the case may be;</w:t>
      </w:r>
    </w:p>
    <w:p>
      <w:pPr>
        <w:spacing w:after="0" w:line="67" w:lineRule="exact"/>
        <w:rPr>
          <w:sz w:val="20"/>
          <w:szCs w:val="20"/>
          <w:color w:val="auto"/>
        </w:rPr>
      </w:pPr>
    </w:p>
    <w:p>
      <w:pPr>
        <w:ind w:left="980" w:right="220" w:firstLine="408"/>
        <w:spacing w:after="0" w:line="282" w:lineRule="auto"/>
        <w:tabs>
          <w:tab w:leader="none" w:pos="16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Receivables Assets or Capital Stock of a Receivables Subsidiary, in each case, granted in connection with a Qualified Receivables Transaction;</w:t>
      </w:r>
    </w:p>
    <w:p>
      <w:pPr>
        <w:spacing w:after="0" w:line="53" w:lineRule="exact"/>
        <w:rPr>
          <w:rFonts w:ascii="Times New Roman" w:cs="Times New Roman" w:eastAsia="Times New Roman" w:hAnsi="Times New Roman"/>
          <w:sz w:val="18"/>
          <w:szCs w:val="18"/>
          <w:color w:val="auto"/>
        </w:rPr>
      </w:pPr>
    </w:p>
    <w:p>
      <w:pPr>
        <w:ind w:left="980" w:right="660" w:firstLine="408"/>
        <w:spacing w:after="0" w:line="282" w:lineRule="auto"/>
        <w:tabs>
          <w:tab w:leader="none" w:pos="16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or in connection with any netting or set-off arrangements entered into in the ordinary course of business;</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permitted by the Trustee, acting on the instructions of at least 50% of the Holders of Notes;</w:t>
      </w:r>
    </w:p>
    <w:p>
      <w:pPr>
        <w:spacing w:after="0" w:line="117" w:lineRule="exact"/>
        <w:rPr>
          <w:rFonts w:ascii="Times New Roman" w:cs="Times New Roman" w:eastAsia="Times New Roman" w:hAnsi="Times New Roman"/>
          <w:sz w:val="18"/>
          <w:szCs w:val="18"/>
          <w:color w:val="auto"/>
        </w:rPr>
      </w:pPr>
    </w:p>
    <w:p>
      <w:pPr>
        <w:ind w:left="980" w:right="620" w:firstLine="408"/>
        <w:spacing w:after="0" w:line="282" w:lineRule="auto"/>
        <w:tabs>
          <w:tab w:leader="none" w:pos="171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granted by the Company or any of its Subsidiaries to secure Indebtedness under a Permitted Liquidity Facility;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the maximum amount of such Indebtedness secured by such Lien does not exceed $750.0 million at any time;</w:t>
      </w:r>
    </w:p>
    <w:p>
      <w:pPr>
        <w:spacing w:after="0" w:line="53" w:lineRule="exact"/>
        <w:rPr>
          <w:rFonts w:ascii="Times New Roman" w:cs="Times New Roman" w:eastAsia="Times New Roman" w:hAnsi="Times New Roman"/>
          <w:sz w:val="18"/>
          <w:szCs w:val="18"/>
          <w:color w:val="auto"/>
        </w:rPr>
      </w:pPr>
    </w:p>
    <w:p>
      <w:pPr>
        <w:jc w:val="both"/>
        <w:ind w:left="980" w:right="160" w:firstLine="408"/>
        <w:spacing w:after="0" w:line="266" w:lineRule="auto"/>
        <w:tabs>
          <w:tab w:leader="none" w:pos="172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Liens permitted by the foregoing clauses (1) through (11), Liens securing obligations of the Company and its Subsidiaries that in the aggregate secure obligations in an amount not in excess of the greater of (i) 10% of Consolidated Tangible Assets and (ii) $1.5 billion.</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Liquidity Facility</w:t>
      </w:r>
      <w:r>
        <w:rPr>
          <w:rFonts w:ascii="Times New Roman" w:cs="Times New Roman" w:eastAsia="Times New Roman" w:hAnsi="Times New Roman"/>
          <w:sz w:val="18"/>
          <w:szCs w:val="18"/>
          <w:color w:val="auto"/>
        </w:rPr>
        <w:t>” means a loan facility or facilities made available to the Company or any Subsidiary of the Company; provided that the aggregate principal amount of utilized and unutilized commitments under such facilities must not exceed $1.0 billion (or its equivalent in another currency) at any time.</w:t>
      </w:r>
    </w:p>
    <w:p>
      <w:pPr>
        <w:spacing w:after="0" w:line="176"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Post-Petition Interest</w:t>
      </w:r>
      <w:r>
        <w:rPr>
          <w:rFonts w:ascii="Times New Roman" w:cs="Times New Roman" w:eastAsia="Times New Roman" w:hAnsi="Times New Roman"/>
          <w:sz w:val="17"/>
          <w:szCs w:val="17"/>
          <w:color w:val="auto"/>
        </w:rPr>
        <w:t>” means all interest accrued or accruing after the commencement of any insolvency or liquidation proceeding (and interest that would accrue but for the commencement of any insolvency or liquidation proceeding) in accordance with and at the contract rate (including, without limitation, any rate applicable upon default) specified in the agreement or instrument creating, evidencing or governing any Indebtedness, whether or not, pursuant to applicable law or otherwise, the claim for such interest is allowed as a claim in such insolvency or liquidation proceeding.</w:t>
      </w:r>
    </w:p>
    <w:p>
      <w:pPr>
        <w:spacing w:after="0" w:line="164"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of any Person means any Capital Stock of such Person that has preferential rights over any other Capital Stock of such Person with respect to dividends, distributions or mandatory redemptions or upon liquidation.</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any operational cement production facilities and related fixtures and improvements owned by the Company or any Subsidiary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45" w:name="page146"/>
    <w:bookmarkEnd w:id="145"/>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Qualified Receivables Transaction</w:t>
      </w:r>
      <w:r>
        <w:rPr>
          <w:rFonts w:ascii="Times New Roman" w:cs="Times New Roman" w:eastAsia="Times New Roman" w:hAnsi="Times New Roman"/>
          <w:sz w:val="18"/>
          <w:szCs w:val="18"/>
          <w:color w:val="auto"/>
        </w:rPr>
        <w:t>” means any transaction or series of transactions that may be entered into by the Company or any Subsidiary of the Company pursuant to which the Company or any Subsidiary of the Company may sell, convey, assign or otherwise transfer to a Receivables Entity any Receivables Assets to obtain funding for the operations of the Company and its Subsidiaries:</w:t>
      </w:r>
    </w:p>
    <w:p>
      <w:pPr>
        <w:spacing w:after="0" w:line="68" w:lineRule="exact"/>
        <w:rPr>
          <w:sz w:val="20"/>
          <w:szCs w:val="20"/>
          <w:color w:val="auto"/>
        </w:rPr>
      </w:pPr>
    </w:p>
    <w:p>
      <w:pPr>
        <w:ind w:left="980" w:right="180" w:firstLine="408"/>
        <w:spacing w:after="0" w:line="282" w:lineRule="auto"/>
        <w:tabs>
          <w:tab w:leader="none" w:pos="16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no term of any portion of the Indebtedness or any other obligations (contingent or otherwise) or securities incurred or issued by any Person in connection therewith:</w:t>
      </w:r>
    </w:p>
    <w:p>
      <w:pPr>
        <w:spacing w:after="0" w:line="54" w:lineRule="exact"/>
        <w:rPr>
          <w:sz w:val="20"/>
          <w:szCs w:val="20"/>
          <w:color w:val="auto"/>
        </w:rPr>
      </w:pPr>
    </w:p>
    <w:p>
      <w:pPr>
        <w:ind w:left="1420" w:firstLine="383"/>
        <w:spacing w:after="0" w:line="282" w:lineRule="auto"/>
        <w:rPr>
          <w:sz w:val="20"/>
          <w:szCs w:val="20"/>
          <w:color w:val="auto"/>
        </w:rPr>
      </w:pPr>
      <w:r>
        <w:rPr>
          <w:rFonts w:ascii="Times New Roman" w:cs="Times New Roman" w:eastAsia="Times New Roman" w:hAnsi="Times New Roman"/>
          <w:sz w:val="18"/>
          <w:szCs w:val="18"/>
          <w:color w:val="auto"/>
        </w:rPr>
        <w:t>(a)  directly or indirectly provides for recourse to, or any obligation of, the Company or any Subsidiary of the Company in any way, whether pursuant to a Guarantee or otherwise, except for Standard Undertakings,</w:t>
      </w:r>
    </w:p>
    <w:p>
      <w:pPr>
        <w:spacing w:after="0" w:line="54" w:lineRule="exact"/>
        <w:rPr>
          <w:sz w:val="20"/>
          <w:szCs w:val="20"/>
          <w:color w:val="auto"/>
        </w:rPr>
      </w:pPr>
    </w:p>
    <w:p>
      <w:pPr>
        <w:ind w:left="1420" w:right="20" w:firstLine="383"/>
        <w:spacing w:after="0" w:line="282" w:lineRule="auto"/>
        <w:rPr>
          <w:sz w:val="20"/>
          <w:szCs w:val="20"/>
          <w:color w:val="auto"/>
        </w:rPr>
      </w:pPr>
      <w:r>
        <w:rPr>
          <w:rFonts w:ascii="Times New Roman" w:cs="Times New Roman" w:eastAsia="Times New Roman" w:hAnsi="Times New Roman"/>
          <w:sz w:val="18"/>
          <w:szCs w:val="18"/>
          <w:color w:val="auto"/>
        </w:rPr>
        <w:t>(b)  directly or indirectly subjects any property or asset of the Company or any Subsidiary of the Company (other than Capital Stock of a Receivables Subsidiary) to the satisfaction thereof, except for Standard Undertakings, or</w:t>
      </w:r>
    </w:p>
    <w:p>
      <w:pPr>
        <w:spacing w:after="0" w:line="54" w:lineRule="exact"/>
        <w:rPr>
          <w:sz w:val="20"/>
          <w:szCs w:val="20"/>
          <w:color w:val="auto"/>
        </w:rPr>
      </w:pPr>
    </w:p>
    <w:p>
      <w:pPr>
        <w:ind w:left="1420" w:right="320" w:firstLine="383"/>
        <w:spacing w:after="0" w:line="282" w:lineRule="auto"/>
        <w:rPr>
          <w:sz w:val="20"/>
          <w:szCs w:val="20"/>
          <w:color w:val="auto"/>
        </w:rPr>
      </w:pPr>
      <w:r>
        <w:rPr>
          <w:rFonts w:ascii="Times New Roman" w:cs="Times New Roman" w:eastAsia="Times New Roman" w:hAnsi="Times New Roman"/>
          <w:sz w:val="18"/>
          <w:szCs w:val="18"/>
          <w:color w:val="auto"/>
        </w:rPr>
        <w:t>(c)  results in such Indebtedness, other obligations or securities constituting Indebtedness of the Company or a Subsidiary, including following a default thereunder, and</w:t>
      </w:r>
    </w:p>
    <w:p>
      <w:pPr>
        <w:spacing w:after="0" w:line="54" w:lineRule="exact"/>
        <w:rPr>
          <w:sz w:val="20"/>
          <w:szCs w:val="20"/>
          <w:color w:val="auto"/>
        </w:rPr>
      </w:pPr>
    </w:p>
    <w:p>
      <w:pPr>
        <w:jc w:val="both"/>
        <w:ind w:left="1420" w:right="340" w:firstLine="383"/>
        <w:spacing w:after="0" w:line="289" w:lineRule="auto"/>
        <w:rPr>
          <w:sz w:val="20"/>
          <w:szCs w:val="20"/>
          <w:color w:val="auto"/>
        </w:rPr>
      </w:pPr>
      <w:r>
        <w:rPr>
          <w:rFonts w:ascii="Times New Roman" w:cs="Times New Roman" w:eastAsia="Times New Roman" w:hAnsi="Times New Roman"/>
          <w:sz w:val="17"/>
          <w:szCs w:val="17"/>
          <w:color w:val="auto"/>
        </w:rPr>
        <w:t>(d)  in connection with which, neither the Company nor any Subsidiary of the Company has any obligation to maintain or preserve a Receivable Entity’s financial condition, cause a Receivables Entity to achieve certain levels of operating results, fund losses of a Receivables Entity, or except in connection with Standard Undertakings, purchase assets of a Receivables Entity.</w:t>
      </w:r>
    </w:p>
    <w:p>
      <w:pPr>
        <w:spacing w:after="0" w:line="158"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Rule 15c3-1(c)(2)(vi)(F) under the Exchange Act, selected by us as a replacement agency for Fitch, Moody’s or S&amp;P, as the case may be.</w:t>
      </w:r>
    </w:p>
    <w:p>
      <w:pPr>
        <w:spacing w:after="0" w:line="17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Downgrade Event</w:t>
      </w:r>
      <w:r>
        <w:rPr>
          <w:rFonts w:ascii="Times New Roman" w:cs="Times New Roman" w:eastAsia="Times New Roman" w:hAnsi="Times New Roman"/>
          <w:sz w:val="18"/>
          <w:szCs w:val="18"/>
          <w:color w:val="auto"/>
        </w:rPr>
        <w:t>” means the rating on the Notes is lowered from their rating then in effect as a result of any event or circumstance comprised of or arising as a result of, or in respect of, a Change of Control (or pending Change of Control) by at least two of the Rating Agencies (or, in the event that (i) only two Rating Agencies are providing a rating for the Notes at the commencement of any Trigger Period, by at least one Rating Agency or (ii) only one Rating Agency is providing a rating for the Notes at the commencement of any Trigger Period, by such Rating Agency) on any date during the period (the “</w:t>
      </w:r>
      <w:r>
        <w:rPr>
          <w:rFonts w:ascii="Times New Roman" w:cs="Times New Roman" w:eastAsia="Times New Roman" w:hAnsi="Times New Roman"/>
          <w:sz w:val="18"/>
          <w:szCs w:val="18"/>
          <w:u w:val="single" w:color="auto"/>
          <w:color w:val="auto"/>
        </w:rPr>
        <w:t>Trigger Period</w:t>
      </w:r>
      <w:r>
        <w:rPr>
          <w:rFonts w:ascii="Times New Roman" w:cs="Times New Roman" w:eastAsia="Times New Roman" w:hAnsi="Times New Roman"/>
          <w:sz w:val="18"/>
          <w:szCs w:val="18"/>
          <w:color w:val="auto"/>
        </w:rPr>
        <w:t xml:space="preserve">”) commencing on the earlier of (i) the occurrence of a Change of Control and (ii) the first public notice of the intention by the Company to effect a Change of Control, and ending 60 days thereafter (which Trigger Period will be extended so long as the rating of the Notes is under publicly announced consideration for possible downgrade by any of the Rating Agencies);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lowering of a rating shall not be deemed to have occurred in respect of a particular Change of Control if such Rating Agency making the lowering in rating does not publicly announce or confirm or inform the Company in writing that the reduction was the result, in whole or in part, of any event or circumstance comprised of or arising as a result of, or in respect of, the Change of Control. Notwithstanding the foregoing, no Rating Downgrade Event shall be deemed to have occurred as a result of any event or circumstance comprised of or arising as a result of, or in respect of, a Change of Control unless and until such Change of Control has actually been consummated.</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980" w:right="320" w:firstLine="408"/>
        <w:spacing w:after="0" w:line="282" w:lineRule="auto"/>
        <w:tabs>
          <w:tab w:leader="none" w:pos="16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leases, conditional sale agreements, instruments, chattel paper, installment sale contracts, obligations, general intangibles, and other similar assets, in each case, relating to goods, inventory or services of the Company and its Subsidiaries,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equipment residuals relating to any of the foregoing,</w:t>
      </w:r>
    </w:p>
    <w:p>
      <w:pPr>
        <w:spacing w:after="0" w:line="117"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rights, Guarantees, letters of credit, Liens, insurance proceeds, collections and other similar assets, in each case, related to the foregoing,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46" w:name="page147"/>
    <w:bookmarkEnd w:id="146"/>
    <w:p>
      <w:pPr>
        <w:ind w:left="1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proceeds of all of the foregoing.</w:t>
      </w:r>
    </w:p>
    <w:p>
      <w:pPr>
        <w:spacing w:after="0" w:line="225" w:lineRule="exact"/>
        <w:rPr>
          <w:sz w:val="20"/>
          <w:szCs w:val="20"/>
          <w:color w:val="auto"/>
        </w:rPr>
      </w:pPr>
    </w:p>
    <w:p>
      <w:pPr>
        <w:jc w:val="both"/>
        <w:ind w:right="5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Entity</w:t>
      </w:r>
      <w:r>
        <w:rPr>
          <w:rFonts w:ascii="Times New Roman" w:cs="Times New Roman" w:eastAsia="Times New Roman" w:hAnsi="Times New Roman"/>
          <w:sz w:val="18"/>
          <w:szCs w:val="18"/>
          <w:color w:val="auto"/>
        </w:rPr>
        <w:t>” means a Receivables Subsidiary or any other Person not an Affiliate of the Company, in each case, whose sole business activity is to engage in Qualified Receivables Transactions, including to issue securities or other interests in connection with a Qualified Receivables Transaction.</w:t>
      </w:r>
    </w:p>
    <w:p>
      <w:pPr>
        <w:spacing w:after="0" w:line="176"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means any Subsidiary of the Company that engages in no activities other than Qualified Receivables Transactions and activities related thereto and that is designated by the Company as a Receivables Subsidiary. Any such designation by the Company shall be evidenced to the Trustee by filing with the Trustee an Officer’s Certificate of the Company.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Taxing Jurisdiction</w:t>
      </w:r>
      <w:r>
        <w:rPr>
          <w:rFonts w:ascii="Times New Roman" w:cs="Times New Roman" w:eastAsia="Times New Roman" w:hAnsi="Times New Roman"/>
          <w:sz w:val="18"/>
          <w:szCs w:val="18"/>
          <w:color w:val="auto"/>
        </w:rPr>
        <w:t>” has the meaning set forth in Section 4.04(b)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and any successor to its rating agency business.</w:t>
      </w:r>
    </w:p>
    <w:p>
      <w:pPr>
        <w:spacing w:after="0" w:line="225"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direct or indirect arrangement with any Person or to which any such Person is a party providing for the leasing to the Company or any of its Subsidiaries of any property, whether owned by the Company or any of its Subsidiaries at the Issue Date or later acquired, which has been or is to be sold or transferred by the Company or any of its Subsidiaries to such Person or to any other Person by whom funds have been or are to be advanced on the security of such property.</w:t>
      </w:r>
    </w:p>
    <w:p>
      <w:pPr>
        <w:spacing w:after="0" w:line="18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 Subsidiary of the Company constituting a “Significant Subsidiary” of the Company in accordance with Rule 1-02(w) of Regulation S-X under the Securities Act in effect on the date hereof.</w:t>
      </w:r>
    </w:p>
    <w:p>
      <w:pPr>
        <w:spacing w:after="0" w:line="162" w:lineRule="exact"/>
        <w:rPr>
          <w:sz w:val="20"/>
          <w:szCs w:val="20"/>
          <w:color w:val="auto"/>
        </w:rPr>
      </w:pPr>
    </w:p>
    <w:p>
      <w:pPr>
        <w:ind w:right="6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Undertakings</w:t>
      </w:r>
      <w:r>
        <w:rPr>
          <w:rFonts w:ascii="Times New Roman" w:cs="Times New Roman" w:eastAsia="Times New Roman" w:hAnsi="Times New Roman"/>
          <w:sz w:val="18"/>
          <w:szCs w:val="18"/>
          <w:color w:val="auto"/>
        </w:rPr>
        <w:t>” means representations, warranties, covenants, indemnities and similar obligations, including servicing obligations, entered into by the Company or any Subsidiary of the Company in connection with a Qualified Receivables Transaction, which are customary in similar non-recourse receivables securitization, purchase or financing transactions.</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joint venture, limited liability company, trust, estate or other entity of which (or in which) more than fifty percent (50%) of (a) in the case of a corporation,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that has not occurred and is not in the control of such Person), (b) in the case of a limited liability company, partnership or joint venture, the voting or other power to control the actions of such limited liability company, partnership or joint venture or (c) in the case of a trust or estate, the voting or other power to control the actions of such trust or estate, is at the time directly or indirectly owned or controlled by (x) such Person, (y) such Person and one or more of its other Subsidiaries or (z) one or more of such Person’s other Subsidiaries. Unless the context otherwise requires, all references herein to “Subsidiaries” shall refer to a Subsidiary of the Company.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has the meaning set forth in Section 5.01(a)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Guarantor</w:t>
      </w:r>
      <w:r>
        <w:rPr>
          <w:rFonts w:ascii="Times New Roman" w:cs="Times New Roman" w:eastAsia="Times New Roman" w:hAnsi="Times New Roman"/>
          <w:sz w:val="18"/>
          <w:szCs w:val="18"/>
          <w:color w:val="auto"/>
        </w:rPr>
        <w:t>” has the meaning set forth in Section 5.01(e)(1)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has the meaning set forth in Section 4.04(a) of this First Supplemental Indenture.</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Transportation Agreement</w:t>
      </w:r>
      <w:r>
        <w:rPr>
          <w:rFonts w:ascii="Times New Roman" w:cs="Times New Roman" w:eastAsia="Times New Roman" w:hAnsi="Times New Roman"/>
          <w:sz w:val="18"/>
          <w:szCs w:val="18"/>
          <w:color w:val="auto"/>
        </w:rPr>
        <w:t>” means, in respect of any Person, any agreement or arrangement designed to protect such Person from fluctuations in prices related to transportation.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47" w:name="page148"/>
    <w:bookmarkEnd w:id="147"/>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applicable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Indebtedness</w:t>
      </w:r>
      <w:r>
        <w:rPr>
          <w:rFonts w:ascii="Times New Roman" w:cs="Times New Roman" w:eastAsia="Times New Roman" w:hAnsi="Times New Roman"/>
          <w:sz w:val="18"/>
          <w:szCs w:val="18"/>
          <w:color w:val="auto"/>
        </w:rPr>
        <w:t>” means (i) any debt securities of the Company (other than the Notes (including any Additional Notes)) issued in the capital markets, or (ii) any bilateral or syndicated credit facility extended by any financial institutions to the Company, in each case that has an aggregate principal amount at any one time outstanding in excess of U.S. $250.0 million (or its equivalent in other currencies).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“Uniform Commercial Code” means the Uniform Commercial Code as in effect from time to time in the State of New York.</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with respect to any Person, means securities of any class of Capital Stock of such Person entitling the Holders thereof (whether at all times or only so long as no senior class of stock has voting power by reason of any contingency) to vote in the election of members of the board of directors (or equivalent governing body) of such Person.</w:t>
      </w:r>
    </w:p>
    <w:p>
      <w:pPr>
        <w:spacing w:after="0" w:line="176" w:lineRule="exact"/>
        <w:rPr>
          <w:sz w:val="20"/>
          <w:szCs w:val="20"/>
          <w:color w:val="auto"/>
        </w:rPr>
      </w:pPr>
    </w:p>
    <w:p>
      <w:pPr>
        <w:ind w:right="1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Wholly Owned Subsidiary</w:t>
      </w:r>
      <w:r>
        <w:rPr>
          <w:rFonts w:ascii="Times New Roman" w:cs="Times New Roman" w:eastAsia="Times New Roman" w:hAnsi="Times New Roman"/>
          <w:sz w:val="17"/>
          <w:szCs w:val="17"/>
          <w:color w:val="auto"/>
        </w:rPr>
        <w:t>” means, for any Person, any Subsidiary of which at least 99.0% of the outstanding Capital Stock (other than, in the case of a Subsidiary not organized in the United States, directors’ qualifying shares or an immaterial amount of shares required to be owned by other Persons pursuant to applicable law) is owned by such Person or any other Person that satisfies this definition in respect of such Person.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TWO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TERMS AND CONDITIONS OF THE NOTES</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Principal Amount and Interest Rate.</w:t>
      </w:r>
    </w:p>
    <w:p>
      <w:pPr>
        <w:spacing w:after="0" w:line="11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(a)  There is hereby authorized and established a series of Securities designated the “5.750% Senior Notes due 2036,” initially in an aggregate principal amount of U.S.$1,500,000,000 (which amount does not include Notes authenticated and delivered upon registration of transfer of, in exchange for, or in lieu of, other Securities of such series pursuant to Sections 3.06, 3.07 or 14.05 of the Base Indenture), which amount shall be specified in the Company Order for the authentication and delivery of Notes pursuant to Section 3.03 of the Base Indenture. The principal of the Outstanding Notes shall be due and payable at their Maturity.</w:t>
      </w:r>
    </w:p>
    <w:p>
      <w:pPr>
        <w:spacing w:after="0" w:line="183"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(b)  The Company may, from time to time and without the consent of the Holders of the Outstanding Notes, issue additional Securities on terms and conditions identical to those of the Notes, subject to Section 2.02(b) below.</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The Stated Maturity of the Notes shall be June 5, 2036. The Notes shall bear interest at the rate of 5.750% per annum from June 5, 2026 or from the most recent Interest Payment Date to which interest has been paid or duly provided for, as the case may be, payable semi-annually in arrears on each Interest Payment Date, until the principal thereof is paid or made available for payment on or prior to the Maturity of the Notes;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amount of interest on any Note which is overdue shall bear interest (to the extent that payment thereof shall be legally enforceable)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rate per annum then borne by such Note from the date such amount is due to the day it is paid or made available for payment, and such overdue interest shall be paid as provided in Section 3.08 of the Base Indenture.</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Denominations; Issuable in Series.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Notes shall be issued only in denominations of U.S.$2,000 and integral multiples of U.S.$1,000 in excess thereof.</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(b)  The provisions of Section 3.01 of the Base Indenture, and solely with respect to the Notes, shall apply to the Notes, except that the paragraph immediately before the last paragraph of such Section 3.01 shall be amended and replaced in its entirety as follows:</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“At the Company’s option, the Company may issue additional Notes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issued in one or more transactions, which have identical terms (other than the issue date, issue price, the first payment of interest on them and, to the extent necessary, certain temporary securities transfer restrictions) so that the Additional Notes may be consolidated and form a single class with the Notes issued on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will be issued under a separate CUSIP or ISIN number unless the Additional Notes are issued pursuant to a “qualified reopening” of the original series, are otherwise treated as part of the same “issue” of debt instruments as the original series or are issued with less than a de minimis amount of original discount, in each case for U.S. federal income tax purposes. Holders of Additional Notes would have the right to vote together with Holders of the Notes issued on the Issue Date as one class on all matters with respect to the Notes issued on the Issue Date.”</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Forms; Terms and Conditions in Forms.</w:t>
      </w:r>
    </w:p>
    <w:p>
      <w:pPr>
        <w:spacing w:after="0" w:line="11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Notes shall be issuable in the form of one or more Global Notes in definitive, registered form, without coupons, registered in the name of The Depository Trust Company, or its nominee as the Depositary, in substantially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with such appropriate insertions, omissions, substitutions and other variations as are required or permitted by this First Supplemental Indenture, and may have such letters, numbers or other marks of identification and such legends or endorsements placed thereon as may be required to comply with the rules of any securities exchange or as may, consistently herewith, be determined by the Officer executing such Notes, as evidenced by their execution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Notes are issued in certificated and not global form, such Notes shall be in substantially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but shall not contain the legends relating to Global Notes, the “Schedule of Increases or Decreases in Global Note” or other provisions applicable to Global Securities, and in lieu thereof they shall include relevant provisions applicable to certificated Securities. The terms and conditions of the Notes contained in the form of Note are hereby expressly made a part of this First Supplemental Indenture. The Trustee’s certificate of authentication to be endorsed thereon are to be substantially in the form set froth in Exhibit A hereto.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49" w:name="page150"/>
    <w:bookmarkEnd w:id="14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THREE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 GUARANTEE</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  The Guarantor hereby fully and unconditionally guarantees, as primary obligor and not merely as surety, to each Holder of the Notes and the Trustee the full and punctual payment when due, whether at maturity, by acceleration, by redemption or otherwise, of the obligations of the Company to the Holders of the Notes and the Trustee under the Notes and the Indenture. The Guarantor further agrees (to the extent permitted by law) that the Obligations may be extended or renewed, in whole or in part, without notice or further assent from it, and that it shall remain bound under this Section 3.01 notwithstanding any extension or renewal of any guaranteed Obligation. The Guarantor hereby agrees to pay, in addition to the foregoing amounts, any and all expenses (including reasonable and documented counsel fees and expenses) incurred by the Trustee or the Holders of the Notes in enforcing or exercising any rights under the Note Guarantee.</w:t>
      </w:r>
    </w:p>
    <w:p>
      <w:pPr>
        <w:spacing w:after="0" w:line="189"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(b)  In no event shall the Trustee or the Holders be obligated to take any action, obtain any judgment or file any claim prior to enforcing or exercising any rights under the Note Guarantee.</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(c)  The Guarantor further agrees that the Note Guarantee constitutes an absolute and unconditional and continuing guarantee. The Guarantor hereby waives, to the extent permitted by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any claim as to the legality, validity, regularity or enforceability of the Indenture, the Notes or any other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   any claim as to the lack of authority of the Company to execute or deliver the Indenture, the Notes or any other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(iii)   diligence, presentation to, demand of payment from and protest to the Company of any of the Obligations and notice of protest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nonpayment;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(iv)   the occurrence of any Default or Event of Default under the Indenture, the Notes or any other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notice of any Default or Event of Default under the Indenture, the Notes or any other agreement;</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(vi)  the failure of the Trustee or any Holder of the Notes to assert any claim or demand or to enforce any right or remedy against the Company or any other Person under the Indenture, the Notes or any other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(vii)   any extension or renewal of the Obligations, the Indenture, the Notes or any other agreement;</w:t>
      </w:r>
    </w:p>
    <w:p>
      <w:pPr>
        <w:spacing w:after="0" w:line="225"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18"/>
          <w:szCs w:val="18"/>
          <w:color w:val="auto"/>
        </w:rPr>
        <w:t xml:space="preserve">(viii) </w:t>
      </w:r>
      <w:r>
        <w:rPr>
          <w:sz w:val="20"/>
          <w:szCs w:val="20"/>
          <w:color w:val="auto"/>
        </w:rPr>
        <w:tab/>
      </w:r>
      <w:r>
        <w:rPr>
          <w:rFonts w:ascii="Times New Roman" w:cs="Times New Roman" w:eastAsia="Times New Roman" w:hAnsi="Times New Roman"/>
          <w:sz w:val="17"/>
          <w:szCs w:val="17"/>
          <w:color w:val="auto"/>
        </w:rPr>
        <w:t>any rescission, waiver, amendment or modification of any of the terms or provisions of the Indenture, the Notes or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(ix)   the existence of any bankruptcy, insolvency, reorganization or similar proceedings involving the Company;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266" w:right="539" w:bottom="1440" w:gutter="0" w:footer="0" w:header="0"/>
        </w:sectPr>
      </w:pPr>
    </w:p>
    <w:bookmarkStart w:id="150" w:name="page151"/>
    <w:bookmarkEnd w:id="150"/>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  any setoff, counterclaim, recoupment, termination or defense of any kind or nature which may be available to or asserted by the Guarantor or the Company against the Holders or the Trustee;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(xi)   the failure of the Trustee or any Holder to exercise any right or remedy against the Guarantor;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(xii)   any change in the ownership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(xiii)   any change in the laws, rules or regulations of any jurisdiction;</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(xiv)  any present or future action of any governmental authority or court amending, varying, reducing or otherwise affecting, or purporting to amend, vary, reduce or otherwise affect, any of the obligations of the Company under the Indenture or the Notes or of the Guarantor under the Note Guarantee; and</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(xv)  any other act or thing or omission or delay to do any other act or thing which may or might in any manner or to any extent vary the risk of the Guarantor or would otherwise operate as a discharge of the Guarantor as a matter of law or equity.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The Guarantor further expressly waives irrevocably and unconditionally:</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(i)  Any right it may have to first require any Holder to proceed against, initiate any actions before a court of law or any other judge or authority, or enforce any other rights or security or claim payment from the Company or any other Person (including any other guarantor of the Notes) before claiming from it under the Indenture;</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(ii)  Any right to which it may be entitled to have the assets of the Company or any other Person (including any other guarantor of the Notes) first be used, applied or depleted as payment of the Company’s or the Guarantor’s obligations hereunder, prior to any amount being claimed from or paid by the Guarantor hereunder;</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(e)  To the extent permitted by law, the obligations of the Guarantor hereunder shall not be subject to any reduction, limitation, impairment or termination for any reason (other than payment of the Obligations in full), including any claim of waiver, release, surrender, alteration or compromise, and shall not be subject to any defense of setoff, counterclaim, recoupment or termination whatsoever or by reason of the invalidity, illegality or unenforceability of the Obligations or otherwise. Without limiting the generality of the foregoing, the obligations of the Guarantor herein shall not be discharged or impaired or otherwise affected by the failure of the Trustee or any Holder of the Notes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the Guarantor or would otherwise operate as a discharge of the Guarantor as a matter of law or equity.</w:t>
      </w:r>
    </w:p>
    <w:p>
      <w:pPr>
        <w:spacing w:after="0" w:line="18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(f)  Except as provided in Section 3.03 of this First Supplemental Indenture, the obligations of the Guarantor hereunder shall not be subject to any reduction, limitation, impairment or termination for any reason other than payment of the Obligations in full.</w:t>
      </w:r>
    </w:p>
    <w:p>
      <w:pPr>
        <w:spacing w:after="0" w:line="162"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(g)  The Guarantor further agrees that the Note Guarantee herein shall continue to be effective or be reinstated, as the case may be, if at any time payment, or any part thereof, of principal of or interest on any of the Obligations is rescinded or must otherwise be restored by the Trustee or any Holder of the Notes upon the bankruptcy or reorganization of the Company or otherwise.</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(h)  In furtherance of the foregoing and not in limitation of any other right which the Trustee or any Holder of the Notes has at law or in equity against the Guarantor by virtue hereof, upon the failure of the Company to pay any of the Obligations when and as the same shall become due, whether at maturity, by acceleration, by redemption or otherwise, the Guarantor hereby promises to and shall, upon receipt of written demand by the Trustee, forthwith pay, or cause to be paid, in cash, to the Trustee and the Holders of the Notes an amount equal to the sum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51" w:name="page152"/>
    <w:bookmarkEnd w:id="151"/>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unpaid amount of such Obligations then due and owing; and</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accrued and unpaid interest on such Obligations then due and owing (but only to the extent not prohibited by law).</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delay by the Trustee in giving such written demand shall in no event affect the Guarantor’s obligations under the Note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The Guarantor further agrees that, as between itself, on the one hand, and the Holders of the Notes, on the other hand:</w:t>
      </w:r>
    </w:p>
    <w:p>
      <w:pPr>
        <w:spacing w:after="0" w:line="117" w:lineRule="exact"/>
        <w:rPr>
          <w:sz w:val="20"/>
          <w:szCs w:val="20"/>
          <w:color w:val="auto"/>
        </w:rPr>
      </w:pPr>
    </w:p>
    <w:p>
      <w:pPr>
        <w:ind w:left="980" w:right="100" w:firstLine="401"/>
        <w:spacing w:after="0" w:line="266" w:lineRule="auto"/>
        <w:rPr>
          <w:sz w:val="20"/>
          <w:szCs w:val="20"/>
          <w:color w:val="auto"/>
        </w:rPr>
      </w:pPr>
      <w:r>
        <w:rPr>
          <w:rFonts w:ascii="Times New Roman" w:cs="Times New Roman" w:eastAsia="Times New Roman" w:hAnsi="Times New Roman"/>
          <w:sz w:val="18"/>
          <w:szCs w:val="18"/>
          <w:color w:val="auto"/>
        </w:rPr>
        <w:t>(i)  the maturity of the Obligations guaranteed hereby may be accelerated as provided in the Indenture for the purposes of the Guarantee, notwithstanding any stay, injunction or other prohibition preventing such acceleration in respect of the Obligations guaranteed hereby; and</w:t>
      </w:r>
    </w:p>
    <w:p>
      <w:pPr>
        <w:spacing w:after="0" w:line="68" w:lineRule="exact"/>
        <w:rPr>
          <w:sz w:val="20"/>
          <w:szCs w:val="20"/>
          <w:color w:val="auto"/>
        </w:rPr>
      </w:pPr>
    </w:p>
    <w:p>
      <w:pPr>
        <w:ind w:left="980" w:right="360" w:firstLine="401"/>
        <w:spacing w:after="0" w:line="282" w:lineRule="auto"/>
        <w:rPr>
          <w:sz w:val="20"/>
          <w:szCs w:val="20"/>
          <w:color w:val="auto"/>
        </w:rPr>
      </w:pPr>
      <w:r>
        <w:rPr>
          <w:rFonts w:ascii="Times New Roman" w:cs="Times New Roman" w:eastAsia="Times New Roman" w:hAnsi="Times New Roman"/>
          <w:sz w:val="18"/>
          <w:szCs w:val="18"/>
          <w:color w:val="auto"/>
        </w:rPr>
        <w:t>(ii)  in the event of any such declaration of acceleration of such Obligations, such Obligations (whether or not due and payable) shall forthwith become due and payable by the Guarantor for the purposes of the Guarantee.</w:t>
      </w:r>
    </w:p>
    <w:p>
      <w:pPr>
        <w:spacing w:after="0" w:line="160"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No Subrogation</w:t>
      </w:r>
      <w:r>
        <w:rPr>
          <w:rFonts w:ascii="Times New Roman" w:cs="Times New Roman" w:eastAsia="Times New Roman" w:hAnsi="Times New Roman"/>
          <w:sz w:val="18"/>
          <w:szCs w:val="18"/>
          <w:color w:val="auto"/>
        </w:rPr>
        <w:t>. The Guarantor agrees that it shall not be entitled to any right of subrogation in respect of any Obligations until payment in full of all Obligations and any obligations to which the Obligations are subordinated. If any amount shall be paid to the Guarantor on account of such subrogation rights at any time when all of the Obligations and any obligations to which the Obligations are subordinated shall not have been paid in full, such amount shall be held by the Guarantor in trust for the Trustee and the Holders of the Notes, segregated from other funds of the Guarantor, and shall, forthwith upon receipt by the Guarantor, be turned over to the Trustee in the exact form received by the Guarantor (duly endorsed by the Guarantor to the Trustee, if required), to be applied against the Obligations or obligations to which the Obligations are subordinated.</w:t>
      </w:r>
    </w:p>
    <w:p>
      <w:pPr>
        <w:spacing w:after="0" w:line="18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The obligations of the Guarantor hereunder will be limited to the maximum amount as will, after giving effect to all other contingent and fixed liabilities of the Guarantor and after giving effect to any collections from or payments made by or on behalf of the Guarantor in respect of the obligations under the Note Guarantee, result in the obligations of the Guarantor under the Note Guarantee not constituting a fraudulent conveyance or fraudulent transfer under federal or state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Release and Discharge.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Guarantor shall be automatically released and relieved of its Obligations under its Note Guarantee</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in the event there is a Legal Defeasance or Covenant Defeasance of the Notes as described under Article Nine;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(ii)   upon satisfaction and discharge of the Notes as described under Article Nine;</w:t>
      </w:r>
    </w:p>
    <w:p>
      <w:pPr>
        <w:spacing w:after="0" w:line="225" w:lineRule="exact"/>
        <w:rPr>
          <w:sz w:val="20"/>
          <w:szCs w:val="20"/>
          <w:color w:val="auto"/>
        </w:rPr>
      </w:pPr>
    </w:p>
    <w:p>
      <w:pPr>
        <w:jc w:val="both"/>
        <w:ind w:firstLine="1432"/>
        <w:spacing w:after="0" w:line="266" w:lineRule="auto"/>
        <w:rPr>
          <w:sz w:val="20"/>
          <w:szCs w:val="20"/>
          <w:color w:val="auto"/>
        </w:rPr>
      </w:pPr>
      <w:r>
        <w:rPr>
          <w:rFonts w:ascii="Times New Roman" w:cs="Times New Roman" w:eastAsia="Times New Roman" w:hAnsi="Times New Roman"/>
          <w:sz w:val="18"/>
          <w:szCs w:val="18"/>
          <w:color w:val="auto"/>
        </w:rPr>
        <w:t>(iii)  in connection with the dissolution of the Guarantor or any sale or other disposition of all or substantially all of the assets of the Guarantor to a Person that is not (after giving effect to such transaction) the Company or any Subsidiary of the Company, if the dissolution, sale or other disposition does not violate the covenant described under Section 5.01 of this First Supplemental Indenture;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52" w:name="page153"/>
    <w:bookmarkEnd w:id="152"/>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in connection with any sale or other disposition of Capital Stock of the Guarantor following which the Guarantor is no longer a direct or indirect Subsidiary of the Company, if the sale or other disposition does not violate the covenant described under Section 5.01 of this First Supplemental Indenture.</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(b)  In addition, subject to Section 5.01 of this First Supplemental Indenture, the Company shall have the right, at its sole option, to terminate the Note Guarantee of the Guarantor if at such time the Guarantor does not guarantee any Triggering Indebtedness, effectively releasing the Guarantor of its obligations under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election shall be notified to the Trustee in writing and set forth in an Officer’s Certificate stating that all conditions precedent to such termination and release have been satisfied, (ii) subsequent to the termination and release of the Guarantor’s Note Guarantee, the Guarantor shall not guarantee any Triggering Indebtedness unless contemporaneously therewith effective provision is made to guarantee the Notes on the same terms as the Guarantor’s initial Note Guarantee under the Indenture;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guarantee of Indebtedness that is committed but not fully drawn shall be construed to be in effect so long as the commitment in respect of such Indebtedness is in full force and effect, regardless of whether any amounts have been drawn pursuant to such Indebtedness. None of the Company, the Guarantor or the Trustee shall be required to make a notation on the Notes to reflect any such release or termination.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(a)  The Company shall not and shall not cause or permit any of its Subsidiaries to, directly or indirectly, incur, grant or assume any Liens (except for Permitted Liens) against or upon any of their Principal Property whether owned on the Issue Date or acquired after the Issue Date, or any proceeds therefrom, to secure any Indebtedness for borrowed money, unless contemporaneously therewith (or at the Company’s option, prior to) effective provision is made:</w:t>
      </w:r>
    </w:p>
    <w:p>
      <w:pPr>
        <w:spacing w:after="0" w:line="180" w:lineRule="exact"/>
        <w:rPr>
          <w:sz w:val="20"/>
          <w:szCs w:val="20"/>
          <w:color w:val="auto"/>
        </w:rPr>
      </w:pPr>
    </w:p>
    <w:p>
      <w:pPr>
        <w:ind w:right="600" w:firstLine="1428"/>
        <w:spacing w:after="0" w:line="282" w:lineRule="auto"/>
        <w:tabs>
          <w:tab w:leader="none" w:pos="172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or any Subsidiary of the Company that is not the Guarantor, to secure the Notes and all other amounts due under the Indenture; and</w:t>
      </w:r>
    </w:p>
    <w:p>
      <w:pPr>
        <w:spacing w:after="0" w:line="161"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Guarantor, to secure the Guarantor’s Note Guarantee of the Notes and all other amounts due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each case, equally and ratably with such Indebtedness (or, in the event that such Indebtedness is subordinated in right of payment to the Notes or such Note Guarantee, as the case may be, prior to such Indebtedness) with a Lien on the same properties and assets securing such Indebtedness for so long as such Indebtedness is secured by such Lien.</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(b)  The Company or any Subsidiary of the Company also may, without equally and ratably securing the Notes, create or incur Liens that extend, renew, substitute or replace (including successive extensions, renewals, substitutions or replacements), in whole or in part, any Lien permitted pursuant to the preceding sentence, plus an amount equal to any premiums, accrued interest, fees, expenses or other costs payable in connection therewith.</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(c)  For purposes of determining compliance with this covenant, (A) a Lien securing an item of Indebtedness need not be permitted solely by reference to one category of permitted Liens (or any portion thereof) described in the definition of “Permitted Liens” or pursuant to Section 4.01(a) but may be permitted in part under any combination thereof and (B) in the event that a Lien securing an item of Indebtedness (or any portion thereof) meets the criteria of one or more of the categories of permitted Liens (or any portion thereof) described in the definition of “Permitted Liens” or pursuant to Section 4.01(a), the Company may, in its sole discretion, classify or reclassify, or later divide, classify or reclassify (as if incurred at such later time), such Lien securing such item of Indebtedness (or any portion thereof) in any manner that complies with this covenant and shall be entitled to only include the amount and type of such Lien or such item of Indebtedness secured by such Lien (or any portion thereof) in one of the categories of permitted Liens (or any portion thereof) described in the definition of “Permitted Liens” or pursuant to Section 4.01(a) and, in such event, such Lien securing such item of Indebtedness (or any portion thereof) shall be treated as being incurred or existing pursuant to only such clause or clauses (or any portion thereof) or pursuant to Section 4.01(a) without giving pro forma effect to such item (or portion thereof) when calculating the amount of Liens or Indebtedness that may be incurred pursuant to any other clause or paragraph.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53" w:name="page154"/>
    <w:bookmarkEnd w:id="153"/>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In connection with the Company’s or any of its Subsidiary’s entry into an instrument containing a binding commitment in respect of any revolving Indebtedness that is secured by a Lien, the Company may elect, pursuant to an Officer’s Certificate delivered to the Trustee, to treat all or any portion of such commitment (any such amount elected until revoked as described below, an “</w:t>
      </w:r>
      <w:r>
        <w:rPr>
          <w:rFonts w:ascii="Times New Roman" w:cs="Times New Roman" w:eastAsia="Times New Roman" w:hAnsi="Times New Roman"/>
          <w:sz w:val="18"/>
          <w:szCs w:val="18"/>
          <w:u w:val="single" w:color="auto"/>
          <w:color w:val="auto"/>
        </w:rPr>
        <w:t>Elected Amount</w:t>
      </w:r>
      <w:r>
        <w:rPr>
          <w:rFonts w:ascii="Times New Roman" w:cs="Times New Roman" w:eastAsia="Times New Roman" w:hAnsi="Times New Roman"/>
          <w:sz w:val="18"/>
          <w:szCs w:val="18"/>
          <w:color w:val="auto"/>
        </w:rPr>
        <w:t>”) under any Indebtedness which is to be incurred (or any commitment in respect thereof) and secured by a Lien, as the case may be, as being incurred as of such election date, and (i) any subsequent incurrence of secured Indebtedness under such commitment (so long as the total amount under such Indebtedness does not exceed the Elected Amount) shall not be deemed, for purposes of any calculation under the indenture, to be an incurrence of additional Indebtedness or an additional Lien at such subsequent time, (ii) the Company may revoke an election of an Elected Amount at any time pursuant to an Officer’s Certificate delivered to the Trustee and (iii) for purposes of all subsequent calculations under the Indenture, the Elected Amount (if any) shall be deemed to be outstanding, whether or not such amount is actually outstanding, so long as the applicable commitment remains outstanding.</w:t>
      </w:r>
    </w:p>
    <w:p>
      <w:pPr>
        <w:spacing w:after="0" w:line="188"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(e)  In addition, for purposes of calculating compliance with the foregoing covenant, in no event shall the amount of any Indebtedness or Liens securing any Indebtedness be required to be included more than once despite the fact that more than one Person is or becomes liable with respect to such Indebtedness and despite the fact that such Indebtedness is or may be secured by the assets of more than one Person.</w:t>
      </w:r>
    </w:p>
    <w:p>
      <w:pPr>
        <w:spacing w:after="0" w:line="282" w:lineRule="exact"/>
        <w:rPr>
          <w:sz w:val="20"/>
          <w:szCs w:val="20"/>
          <w:color w:val="auto"/>
        </w:rPr>
      </w:pPr>
    </w:p>
    <w:p>
      <w:pPr>
        <w:jc w:val="both"/>
        <w:ind w:right="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Reports to Holders</w:t>
      </w:r>
      <w:r>
        <w:rPr>
          <w:rFonts w:ascii="Times New Roman" w:cs="Times New Roman" w:eastAsia="Times New Roman" w:hAnsi="Times New Roman"/>
          <w:sz w:val="18"/>
          <w:szCs w:val="18"/>
          <w:color w:val="auto"/>
        </w:rPr>
        <w:t>. For so long as the Company is subject to the reporting requirements of Section 13 or 15(d) of the Exchange Act, so long as any Notes remain outstanding, the Company shall provide the Trustee and the Holders with:</w:t>
      </w:r>
    </w:p>
    <w:p>
      <w:pPr>
        <w:spacing w:after="0" w:line="5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(a)  annual reports on Form 20-F (or any successor form) containing the information required to be contained therein (or such successor form) within the time period required under the rules of the Commission (including any applicable extensions provided thereunder) for the filing of Form 20-F (or any successor form) by “foreign private issuers” (as defined in Rule 3b-4 of the Exchange Act (or any successor rule));</w:t>
      </w:r>
    </w:p>
    <w:p>
      <w:pPr>
        <w:spacing w:after="0" w:line="176"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(b)  reports on Form 6-K (or any successor form) including, whether or not required, unaudited quarterly financial statements (which shall include at least a balance sheet and income statement), within 45 days after the end of each of the first three fiscal quarters of each fiscal year; and</w:t>
      </w:r>
    </w:p>
    <w:p>
      <w:pPr>
        <w:spacing w:after="0" w:line="140"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(c)  such other reports on Form 6-K (or any successor form) promptly from time to time after the occurrence of an event that would be required to be reported on a Form 6-K (or any successor form).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so long as the Company is not subject to the reporting requirements of Section 13 or 15(d) of the Exchange Act, and so long as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remain outstanding, the Company shall provide the Trustee and the Holders with English versions of:</w:t>
      </w:r>
    </w:p>
    <w:p>
      <w:pPr>
        <w:spacing w:after="0" w:line="20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(a)  annual audited financial statements for such fiscal year (which shall include a balance sheet, income statement and cash flow statement), including a discussion of the Company’s financial condition and results of operations in accordance with past practice, which need not, however, contain any reconciliation to IFRS or U.S. GAAP, as applicable, or otherwise comply with Regulation S-X (including, without limitation, Rule 3-10 thereunder) of the Commission, together with a report thereon by the Company’s independent auditors, within 120 days after the end of each fiscal year; and</w:t>
      </w:r>
    </w:p>
    <w:p>
      <w:pPr>
        <w:spacing w:after="0" w:line="183"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(b)  quarterly reports containing unaudited quarterly financial statements (which shall include a balance sheet and income statement), which need not, however, contain any reconciliation to IFRS or U.S. GAAP, as applicable, or otherwise comply with Regulation S-X (including, without limitation, Rule 3-10 thereunder) of the Commission, within 60 days following the end of each of the first three fiscal quarters of each fiscal year.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54" w:name="page155"/>
    <w:bookmarkEnd w:id="154"/>
    <w:p>
      <w:pPr>
        <w:ind w:left="4" w:right="300"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be deemed to have furnished such information referred to in the preceding two paragraphs to the Trustee and the Holders by filing such information, to the extent permitted, with the Commission or posting or making available such information on the Company’s website or on a site accessible through the Company’s website maintained by the Company or a third party (which may be password protected).</w:t>
      </w:r>
    </w:p>
    <w:p>
      <w:pPr>
        <w:spacing w:after="0" w:line="158"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in the Indenture to the contrary, the Company shall not be deemed to have failed to comply with any of its obligations hereunder for purposes of clause (4) under Article Six or for any other purpose hereunder until 75 days after the date any report hereunder is due.</w:t>
      </w:r>
    </w:p>
    <w:p>
      <w:pPr>
        <w:spacing w:after="0" w:line="176" w:lineRule="exact"/>
        <w:rPr>
          <w:sz w:val="20"/>
          <w:szCs w:val="20"/>
          <w:color w:val="auto"/>
        </w:rPr>
      </w:pPr>
    </w:p>
    <w:p>
      <w:pPr>
        <w:jc w:val="both"/>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reports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2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(a)  If a Change of Control Triggering Event occurs, the Company shall offer to purchase all or a portion (in integral multiples of $1,000) of each Holder’s Notes at a purchase price equal to 101% of the principal amount thereof, plus accrued and unpaid interest thereon to, but not including, the date of purchase (the “Change of Control Payment”), on the terms and conditions set forth in the Indenture.</w:t>
      </w:r>
    </w:p>
    <w:p>
      <w:pPr>
        <w:spacing w:after="0" w:line="176"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(b)  Within 30 days following the date upon which the Change of Control Triggering Event occurred, the Company shall send, electronically or by first-class mail, a notice to each Holder, with a copy to the Trustee, offering to purchase the Notes as described above (a “Change of Control Offer”). The notice shall state, among other things, the purchase date, which must be no earlier than 30 days nor later than 60 days from the date the notice is electronically sent or mailed, other than as may be required by law (the “Change of Control Payment Date”).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   On the Change of Control Payment Date, the Company shall, to the extent lawful:</w:t>
      </w:r>
    </w:p>
    <w:p>
      <w:pPr>
        <w:spacing w:after="0" w:line="117" w:lineRule="exact"/>
        <w:rPr>
          <w:sz w:val="20"/>
          <w:szCs w:val="20"/>
          <w:color w:val="auto"/>
        </w:rPr>
      </w:pPr>
    </w:p>
    <w:p>
      <w:pPr>
        <w:ind w:left="1644" w:hanging="252"/>
        <w:spacing w:after="0"/>
        <w:tabs>
          <w:tab w:leader="none" w:pos="1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properly tendered and not withdrawn pursuant to the Change of Control Offer;</w:t>
      </w:r>
    </w:p>
    <w:p>
      <w:pPr>
        <w:spacing w:after="0" w:line="117" w:lineRule="exact"/>
        <w:rPr>
          <w:rFonts w:ascii="Times New Roman" w:cs="Times New Roman" w:eastAsia="Times New Roman" w:hAnsi="Times New Roman"/>
          <w:sz w:val="18"/>
          <w:szCs w:val="18"/>
          <w:color w:val="auto"/>
        </w:rPr>
      </w:pPr>
    </w:p>
    <w:p>
      <w:pPr>
        <w:ind w:left="984" w:right="40" w:firstLine="408"/>
        <w:spacing w:after="0" w:line="282" w:lineRule="auto"/>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Trustee funds in an amount equal to the Change of Control Payment in respect of all Notes or portions thereof so tendered; and</w:t>
      </w:r>
    </w:p>
    <w:p>
      <w:pPr>
        <w:spacing w:after="0" w:line="53" w:lineRule="exact"/>
        <w:rPr>
          <w:rFonts w:ascii="Times New Roman" w:cs="Times New Roman" w:eastAsia="Times New Roman" w:hAnsi="Times New Roman"/>
          <w:sz w:val="18"/>
          <w:szCs w:val="18"/>
          <w:color w:val="auto"/>
        </w:rPr>
      </w:pPr>
    </w:p>
    <w:p>
      <w:pPr>
        <w:ind w:left="984" w:right="220" w:firstLine="408"/>
        <w:spacing w:after="0" w:line="282" w:lineRule="auto"/>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62" w:lineRule="exact"/>
        <w:rPr>
          <w:sz w:val="20"/>
          <w:szCs w:val="20"/>
          <w:color w:val="auto"/>
        </w:rPr>
      </w:pPr>
    </w:p>
    <w:p>
      <w:pPr>
        <w:jc w:val="both"/>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(d)  If only a portion of a Note is purchased pursuant to a Change of Control Offer, a new Note in a principal amount equal to the portion thereof not purchased shall be issued in the name of the Holder thereof upon cancellation of the original Note (or appropriate adjustments to the amount and beneficial interests in a Global Note shall be made, as appropriate), provided, that each new Note shall be in a minimum principal amount of $2,000 and in integral multiples of $1,000 in excess thereof. Notes (or portions thereof) purchased pursuant to a Change of Control Offer shall be cancelled and cannot be reissued.</w:t>
      </w:r>
    </w:p>
    <w:p>
      <w:pPr>
        <w:spacing w:after="0" w:line="183" w:lineRule="exact"/>
        <w:rPr>
          <w:sz w:val="20"/>
          <w:szCs w:val="20"/>
          <w:color w:val="auto"/>
        </w:rPr>
      </w:pPr>
    </w:p>
    <w:p>
      <w:pPr>
        <w:jc w:val="both"/>
        <w:ind w:left="4" w:firstLine="991"/>
        <w:spacing w:after="0" w:line="257" w:lineRule="auto"/>
        <w:rPr>
          <w:sz w:val="20"/>
          <w:szCs w:val="20"/>
          <w:color w:val="auto"/>
        </w:rPr>
      </w:pPr>
      <w:r>
        <w:rPr>
          <w:rFonts w:ascii="Times New Roman" w:cs="Times New Roman" w:eastAsia="Times New Roman" w:hAnsi="Times New Roman"/>
          <w:sz w:val="18"/>
          <w:szCs w:val="18"/>
          <w:color w:val="auto"/>
        </w:rPr>
        <w:t>(e)  The Company shall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the Company and purchases all Notes properly tendered and not withdrawn under the Change of Control Offer, or</w:t>
      </w:r>
    </w:p>
    <w:p>
      <w:pPr>
        <w:spacing w:after="0" w:line="1" w:lineRule="exact"/>
        <w:rPr>
          <w:sz w:val="20"/>
          <w:szCs w:val="20"/>
          <w:color w:val="auto"/>
        </w:rPr>
      </w:pPr>
    </w:p>
    <w:p>
      <w:pPr>
        <w:ind w:left="4" w:right="60" w:hanging="4"/>
        <w:spacing w:after="0" w:line="252" w:lineRule="auto"/>
        <w:tabs>
          <w:tab w:leader="none" w:pos="2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with respect to all outstanding Notes has been given pursuant to the Indenture as described in Section 7.02 of this First Supplemental Indenture unless and until there is a default in payment of the applicable redemption price. Notwithstanding anything to the contrary herein, a Change of Control Offer may be made in advance of a Change of Control Triggering Event, conditional upon the occurrence of a Change of Control, if a definitive agreement is in place for the Change of Control at the time such Change of Control Offer is made. Such conditional Change of Control Offer may provide that, in the Company’s discretion, the repurchase date of the Notes may be delayed until such time as any or all conditions applicable to the Change of Control shall be satisfied, or that such Change of Control Offer may be rescinded if such Change of Control does not or will not occur.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55" w:name="page156"/>
    <w:bookmarkEnd w:id="155"/>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Holders shall not be entitled to require the Company to purchase their Notes in the event of a takeover, recapitalization, leveraged buyout or similar transaction which is not a Change of Control Triggering Event.</w:t>
      </w:r>
    </w:p>
    <w:p>
      <w:pPr>
        <w:spacing w:after="0" w:line="162"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(g)  The Company shall comply with the requirements of Rule 14e-1 under the Exchange Act and any other securities laws and regulations in connection with the purchase of Notes to the extent that they apply in connection with a Change of Control Offer. To the extent that the provisions of any securities laws or regulations conflict with this Section 4.03, the Company shall comply with the applicable securities laws and regulations and shall not be deemed to have breached its obligations under the Indenture by doing so.</w:t>
      </w:r>
    </w:p>
    <w:p>
      <w:pPr>
        <w:spacing w:after="0" w:line="180"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(h)  If Holders of not less than 90% in aggregate principal amount of the outstanding Notes accept a Change of Control Offer and the Company (or any third party making such Change of Control Offer in lieu of the Company as described above) purchases all of the Notes held by such Holders, the Company shall have the right, upon not less than 10 nor more than 60 days’ prior notice, given not more than 10 days following the purchase pursuant to the Change of Control Offer described above, to redeem all of the Notes that remain outstanding following such purchase at a redemption price equal to the Change of Control Payment plus, to the extent not included in the Change of Control Payment, accrued and unpaid interest, if any, on the Notes that remain outstanding, to the date of redemption (subject to the right of Holders of record on the relevant record date to receive interest due on an interest payment date that is on or prior to the redemption date).</w:t>
      </w:r>
    </w:p>
    <w:p>
      <w:pPr>
        <w:spacing w:after="0" w:line="18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  The provisions under the Indenture relating to the Company’s obligation to make an offer to purchase the Notes as a result of a Change of Control Triggering Event may be, prior to the occurrence of the applicable Change of Control, waived or modified with the written consent of the Holders of a majority in principal amount of the Notes.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Payment of Additional Amounts.</w:t>
      </w:r>
    </w:p>
    <w:p>
      <w:pPr>
        <w:spacing w:after="0" w:line="119"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(a)  All payments made by the Company or the Guarantor (or any successor to any of them) under, or with respect to, the Notes shall be made free and clear of, and without withholding or deduction for or on account of any present or future tax, duty, levy, impost, assessment or other governmental charge (including penalties, interest and other liabilities related thereto) imposed or levied by or on behalf of any taxing authority (collectively,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unless such withholding or deduction is required by applicable law or by the official interpretation or administration thereof.</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(b)  If any deduction or withholding for, or on account of, any Taxes is imposed or levied by or on behalf of Mexico (or any taxing authority, jurisdiction or political subdivision thereof), the United States or of any jurisdiction (i) in which the Company or the Guarantor, or any successor to any of them, is organized or resident for tax purposes (and, in the case of any successor, wherein such successor assumes the obligations of the Notes, the guarantees and the indenture following a merger, consolidation or transfer, lease or conveyance of substantially all of the assets and properties of the Company or the Guarantor) or (ii) through which payments on the Notes are made (each of Mexico, the United States and any such jurisdiction, a “</w:t>
      </w:r>
      <w:r>
        <w:rPr>
          <w:rFonts w:ascii="Times New Roman" w:cs="Times New Roman" w:eastAsia="Times New Roman" w:hAnsi="Times New Roman"/>
          <w:sz w:val="18"/>
          <w:szCs w:val="18"/>
          <w:u w:val="single" w:color="auto"/>
          <w:color w:val="auto"/>
        </w:rPr>
        <w:t>Relevant Taxing Jurisdiction</w:t>
      </w:r>
      <w:r>
        <w:rPr>
          <w:rFonts w:ascii="Times New Roman" w:cs="Times New Roman" w:eastAsia="Times New Roman" w:hAnsi="Times New Roman"/>
          <w:sz w:val="18"/>
          <w:szCs w:val="18"/>
          <w:color w:val="auto"/>
        </w:rPr>
        <w:t>”) the Company or the relevant Guarantor or successor entity, as applicable, shall pay such additional amounts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as may be necessary in order that the net amounts received in respect of such payments by each Holder after such withholding or deduction shall equal the respective amounts that would have been received by such Holder in respect of such payments in the absence of such withholding or deduction; provided, however, that neither the Company nor the Guarantor (nor any paying agent) nor any successor to any of them shall pay Additional Amounts to any Holder or beneficial owner of Notes for or on account of any of the following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(i)  any Taxes imposed solely because at any time there is or was a connection between the Holder or beneficial owner of Notes, as the case may be, and a Relevant Taxing Jurisdiction, including such Holder or beneficial owner being or having been a citizen or resident of such Relevant Taxing Jurisdiction or treated as a resident thereof or being or having been physically present or engaged in a trade or business or having had a permanent establishment therein (other than the mere purchase of the Notes, or receipt of a payment or the ownership or holding of the Notes);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56" w:name="page157"/>
    <w:bookmarkEnd w:id="1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any estate, inheritance, gift, sales, excise, transfer, personal property or similar Tax imposed with respect to the Notes;</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(iii)  any Taxes imposed solely because the Holder or any other person fails to comply with any certification, identification or other reporting requirement concerning the nationality, residence, identity or connection of the Holder or any beneficial owner of the Notes with a Relevant Taxing Jurisdiction if compliance is required by the applicable law of such Relevant Taxing Jurisdiction or an applicable income tax treaty as a precondition to exemption from, or reduction in the rate of, such Tax (including, but not limited to, the failure to provide U.S. Internal Revenue Service, Form W-8BEN-E, W-8BEN, W-8ECI or any subsequent versions thereof), and the Company has given the Holders at least thirty (30) days’ notice that Holders shall be required to provide such information and identification;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(iv)   any Taxes payable otherwise than by deduction or withholding from payments on the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any Taxes that would have been avoided by presenting for payment (where presentation is required) the relevant Note to another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w:t>
      </w:r>
    </w:p>
    <w:p>
      <w:pPr>
        <w:spacing w:after="0" w:line="20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(vi)  any Taxes with respect to such Notes presented for payment more than thirty (30) days after the date on which the payment became due and payable or the date on which payment thereof is duly provided for and notice thereof given to Holders, whichever occurs later, except to the extent that the Holders of such Notes would have been entitled to such Additional Amounts on presenting such Notes for payment on any date during such 30-day period;</w:t>
      </w:r>
    </w:p>
    <w:p>
      <w:pPr>
        <w:spacing w:after="0" w:line="180" w:lineRule="exact"/>
        <w:rPr>
          <w:sz w:val="20"/>
          <w:szCs w:val="20"/>
          <w:color w:val="auto"/>
        </w:rPr>
      </w:pPr>
    </w:p>
    <w:p>
      <w:pPr>
        <w:jc w:val="both"/>
        <w:ind w:right="80" w:firstLine="991"/>
        <w:spacing w:after="0" w:line="289" w:lineRule="auto"/>
        <w:rPr>
          <w:sz w:val="20"/>
          <w:szCs w:val="20"/>
          <w:color w:val="auto"/>
        </w:rPr>
      </w:pPr>
      <w:r>
        <w:rPr>
          <w:rFonts w:ascii="Times New Roman" w:cs="Times New Roman" w:eastAsia="Times New Roman" w:hAnsi="Times New Roman"/>
          <w:sz w:val="17"/>
          <w:szCs w:val="17"/>
          <w:color w:val="auto"/>
        </w:rPr>
        <w:t>(vii)  any payment on the Notes to a Holder that is a fiduciary or partnership or a person other than the sole beneficial owner of any such payment, to the extent that a beneficiary or settlor with respect to such fiduciary, a member of such a partnership or the beneficial owner of the payment would not have been entitled to the Additional Amounts had the beneficiary, settlor, member or beneficial owner been the Holder of the Notes;</w:t>
      </w:r>
    </w:p>
    <w:p>
      <w:pPr>
        <w:spacing w:after="0" w:line="15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(viii)  any Taxes withheld or deducted on or in respect of any Note pursuant to Sections 1471 through 1474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(commonly referred to as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any treaty, law, regulation or other official guidance enacted by the United States implementing FATCA, any agreement between the Company and the United States implementing FATCA pursuant to Section 1471(b)(1) of the Code or any law of any jurisdiction implementing an intergovernmental approach to FATCA;</w:t>
      </w:r>
    </w:p>
    <w:p>
      <w:pPr>
        <w:spacing w:after="0" w:line="180" w:lineRule="exact"/>
        <w:rPr>
          <w:sz w:val="20"/>
          <w:szCs w:val="20"/>
          <w:color w:val="auto"/>
        </w:rPr>
      </w:pPr>
    </w:p>
    <w:p>
      <w:pPr>
        <w:jc w:val="both"/>
        <w:ind w:right="440" w:firstLine="991"/>
        <w:spacing w:after="0" w:line="266" w:lineRule="auto"/>
        <w:rPr>
          <w:sz w:val="20"/>
          <w:szCs w:val="20"/>
          <w:color w:val="auto"/>
        </w:rPr>
      </w:pPr>
      <w:r>
        <w:rPr>
          <w:rFonts w:ascii="Times New Roman" w:cs="Times New Roman" w:eastAsia="Times New Roman" w:hAnsi="Times New Roman"/>
          <w:sz w:val="18"/>
          <w:szCs w:val="18"/>
          <w:color w:val="auto"/>
        </w:rPr>
        <w:t>(ix)  any Taxes imposed by the United States that would not have been imposed but for the beneficial owner or the Holder being or having been (a) a “10-percent shareholder” (as defined in section 871(h)(3) of the Code, or any successor provision) of the Guarantor or (b) a bank whose receipt of interest on a Note is described in section 881(c)(3)(A) of the Code or any successor provision;</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(x)  any Taxes imposed by the United States that would not have been imposed but for the beneficial owner or the Holder being or having been a non-U.S. or U.S. personal holding company, a passive foreign investment company or a controlled foreign corporation each as defined for U.S. federal income tax purposes, a corporation that has accumulated earnings to avoid United States federal income tax or a private foundation or other tax-exempt organization; or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(xi)   any combination of any of the foregoing.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57" w:name="page158"/>
    <w:bookmarkEnd w:id="157"/>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provisions of Section 4.04(b) of this First Supplemental Indenture shall survive any termination or discharge of the Indenture. The Company or the Guarantor, as applicable, shall (i) make such withholding or deduction and (ii) remit the full amount deducted or withheld to the Relevant Taxing Jurisdiction in accordance with applicable law. The Company or the Guarantor, as applicable, shall use all reasonable efforts to obtain certified copies of tax receipts evidencing the payment of any Taxes so deducted or withheld from each Relevant Taxing Jurisdiction imposing such Taxes and shall furnish such certified copies to the Trustee within thirty (30) days after the date the payment of any Taxes so deducted or so withheld is due pursuant to applicable law or, if such tax receipts are not reasonably available to the Company or the Guarantor, or successor entity, as applicable, furnish such other documentation that provides reasonable evidence of such payment by the Company or the Guarantor, or successor entity, as applicable.</w:t>
      </w:r>
    </w:p>
    <w:p>
      <w:pPr>
        <w:spacing w:after="0" w:line="192" w:lineRule="exact"/>
        <w:rPr>
          <w:sz w:val="20"/>
          <w:szCs w:val="20"/>
          <w:color w:val="auto"/>
        </w:rPr>
      </w:pPr>
    </w:p>
    <w:p>
      <w:pPr>
        <w:ind w:left="4" w:right="120" w:firstLine="991"/>
        <w:spacing w:after="0" w:line="270" w:lineRule="auto"/>
        <w:rPr>
          <w:sz w:val="20"/>
          <w:szCs w:val="20"/>
          <w:color w:val="auto"/>
        </w:rPr>
      </w:pPr>
      <w:r>
        <w:rPr>
          <w:rFonts w:ascii="Times New Roman" w:cs="Times New Roman" w:eastAsia="Times New Roman" w:hAnsi="Times New Roman"/>
          <w:sz w:val="17"/>
          <w:szCs w:val="17"/>
          <w:color w:val="auto"/>
        </w:rPr>
        <w:t>(d)  The exception to the obligations of the Company or the Guarantor or successor entity, as applicable, to pay Additional Amounts pursuant to this Section 4.04 shall not apply if (i) the provision of information, documentation or other evidence described in such clause (iii) would be materially more onerous, in form, in procedure or in the substance of information disclosed, to a Holder or beneficial owner of a Note than comparable information or other reporting requirements imposed under U.S. tax law, regulation (including proposed regulations) and administrative practice, or</w:t>
      </w:r>
    </w:p>
    <w:p>
      <w:pPr>
        <w:spacing w:after="0" w:line="3" w:lineRule="exact"/>
        <w:rPr>
          <w:sz w:val="20"/>
          <w:szCs w:val="20"/>
          <w:color w:val="auto"/>
        </w:rPr>
      </w:pPr>
    </w:p>
    <w:p>
      <w:pPr>
        <w:ind w:left="4" w:right="60" w:hanging="4"/>
        <w:spacing w:after="0" w:line="252"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166, Section II, paragraph a), of the Mexican Income Tax Law (</w:t>
      </w:r>
      <w:r>
        <w:rPr>
          <w:rFonts w:ascii="Times New Roman" w:cs="Times New Roman" w:eastAsia="Times New Roman" w:hAnsi="Times New Roman"/>
          <w:sz w:val="18"/>
          <w:szCs w:val="18"/>
          <w:i w:val="1"/>
          <w:iCs w:val="1"/>
          <w:color w:val="auto"/>
        </w:rPr>
        <w:t>Ley del Impuesto Sobre la Renta</w:t>
      </w:r>
      <w:r>
        <w:rPr>
          <w:rFonts w:ascii="Times New Roman" w:cs="Times New Roman" w:eastAsia="Times New Roman" w:hAnsi="Times New Roman"/>
          <w:sz w:val="18"/>
          <w:szCs w:val="18"/>
          <w:color w:val="auto"/>
        </w:rPr>
        <w:t>) (or a substitute or equivalent provision) is in effect, unless (A) the provision of the information, documentation or other evidence described in such clause (iii) is expressly required by the applicable Mexican laws and regulations in order to apply Article 166, Section II, paragraph a), of the Mexican Income Tax Law (or substitute or equivalent provision), (B) the Company cannot obtain the information, documentation or other evidence necessary to comply with the applicable Mexican laws and regulations on its own through reasonable diligence and (C) the Company would not otherwise meet the requirements for application of the applicable Mexican laws and regulations.</w:t>
      </w:r>
    </w:p>
    <w:p>
      <w:pPr>
        <w:spacing w:after="0" w:line="190"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(e)  In addition, this Section 4.04 does not require, and shall not be construed to require, that any Holder, including any non-Mexican pension fund, retirement fund, tax-exempt organization or financial institution, register with the Mexican Tax Management Service (</w:t>
      </w:r>
      <w:r>
        <w:rPr>
          <w:rFonts w:ascii="Times New Roman" w:cs="Times New Roman" w:eastAsia="Times New Roman" w:hAnsi="Times New Roman"/>
          <w:sz w:val="18"/>
          <w:szCs w:val="18"/>
          <w:i w:val="1"/>
          <w:iCs w:val="1"/>
          <w:color w:val="auto"/>
        </w:rPr>
        <w:t>Servicio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Administración Tributaria</w:t>
      </w:r>
      <w:r>
        <w:rPr>
          <w:rFonts w:ascii="Times New Roman" w:cs="Times New Roman" w:eastAsia="Times New Roman" w:hAnsi="Times New Roman"/>
          <w:sz w:val="18"/>
          <w:szCs w:val="18"/>
          <w:color w:val="auto"/>
        </w:rPr>
        <w:t>) or the Mexican Ministry of Finance and Public Credit (</w:t>
      </w:r>
      <w:r>
        <w:rPr>
          <w:rFonts w:ascii="Times New Roman" w:cs="Times New Roman" w:eastAsia="Times New Roman" w:hAnsi="Times New Roman"/>
          <w:sz w:val="18"/>
          <w:szCs w:val="18"/>
          <w:i w:val="1"/>
          <w:iCs w:val="1"/>
          <w:color w:val="auto"/>
        </w:rPr>
        <w:t>Secretaría de Hacienda y Crédito Público</w:t>
      </w:r>
      <w:r>
        <w:rPr>
          <w:rFonts w:ascii="Times New Roman" w:cs="Times New Roman" w:eastAsia="Times New Roman" w:hAnsi="Times New Roman"/>
          <w:sz w:val="18"/>
          <w:szCs w:val="18"/>
          <w:color w:val="auto"/>
        </w:rPr>
        <w:t>) to establish eligibility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exemption from, or a reduction of, Mexican withholding taxes.</w:t>
      </w:r>
    </w:p>
    <w:p>
      <w:pPr>
        <w:spacing w:after="0" w:line="180"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(f)  Any reference herein and the Indenture to principal, premium, interest or any other amount payable in respect of the Notes by the Company or the Guarantor or successor entity, as applicable, shall be deemed also to refer to any Additional Amounts that may be payable with respect to that amount under the obligations referred to herein. Payment of any Additional Amounts with respect to interest shall be considered as an interest payment under, or with respect to, the Notes.</w:t>
      </w:r>
    </w:p>
    <w:p>
      <w:pPr>
        <w:spacing w:after="0" w:line="180"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(g)  In the event that Additional Amounts actually paid with respect to the Notes pursuant to Section 4.04 are based on rates of deduction or withholding of Taxes in excess of the appropriate rate applicable to the Holder or beneficial owner of such Notes, and as a result thereof such Holder or beneficial owner is entitled to make a claim for a refund or credit of such excess from the authority imposing such withholding tax, then such Holder or beneficial owner shall, by accepting such Notes, and without any further action, be deemed to have assigned and transferred all right, title and interest to any such claim for a refund or credit of such excess to the Company or the Guarantor or successor entity, as applicable. However, by making such assignment, the Holder makes no representation or warranty that the Company or the Guarantor or successor entity, as applicable, shall be entitled to receive such claim for a refund or credit and incurs no other obligation with respect thereto.</w:t>
      </w:r>
    </w:p>
    <w:p>
      <w:pPr>
        <w:spacing w:after="0" w:line="187" w:lineRule="exact"/>
        <w:rPr>
          <w:sz w:val="20"/>
          <w:szCs w:val="20"/>
          <w:color w:val="auto"/>
        </w:rPr>
      </w:pPr>
    </w:p>
    <w:p>
      <w:pPr>
        <w:ind w:left="4" w:right="4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shall apply for listing on the New York Stock Exchange within thirty (30) days of the Issue Date, and the Company shall use its best efforts to maintain the listing for as long as the Notes are outstanding.</w:t>
      </w:r>
    </w:p>
    <w:p>
      <w:pPr>
        <w:spacing w:after="0" w:line="37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5" w:lineRule="exact"/>
        <w:rPr>
          <w:sz w:val="20"/>
          <w:szCs w:val="20"/>
          <w:color w:val="auto"/>
        </w:rPr>
      </w:pPr>
    </w:p>
    <w:p>
      <w:pPr>
        <w:ind w:left="2564"/>
        <w:spacing w:after="0"/>
        <w:rPr>
          <w:sz w:val="20"/>
          <w:szCs w:val="20"/>
          <w:color w:val="auto"/>
        </w:rPr>
      </w:pPr>
      <w:r>
        <w:rPr>
          <w:rFonts w:ascii="Times New Roman" w:cs="Times New Roman" w:eastAsia="Times New Roman" w:hAnsi="Times New Roman"/>
          <w:sz w:val="18"/>
          <w:szCs w:val="18"/>
          <w:b w:val="1"/>
          <w:bCs w:val="1"/>
          <w:color w:val="auto"/>
        </w:rPr>
        <w:t>LIMITATION ON MERGER, CONSOLIDATION AND SALE OF ASSETS</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Limitation on Merger, Consolidation and Sale of Assets.</w:t>
      </w:r>
    </w:p>
    <w:p>
      <w:pPr>
        <w:spacing w:after="0" w:line="160"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158" w:name="page159"/>
    <w:bookmarkEnd w:id="1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Section 5.01 shall replace Section 6.04 of the Base Indenture in its entirety with respect to the Notes.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  The Company shall not, in a single transaction or series of related transactions, consolidate or merge with or into any Person (whether or not the Company is the surviving or continuing Person), or sell, assign, transfer, lease, convey or otherwise dispose of all or substantially all of the Company’s properties and assets (determined on a consolidated basis for the Company and its Subsidiaries), to any Person unless:</w:t>
      </w:r>
    </w:p>
    <w:p>
      <w:pPr>
        <w:spacing w:after="0" w:line="176" w:lineRule="exact"/>
        <w:rPr>
          <w:sz w:val="20"/>
          <w:szCs w:val="20"/>
          <w:color w:val="auto"/>
        </w:rPr>
      </w:pPr>
    </w:p>
    <w:p>
      <w:pPr>
        <w:ind w:left="1680" w:hanging="252"/>
        <w:spacing w:after="0"/>
        <w:tabs>
          <w:tab w:leader="none" w:pos="16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or continuing corporation, or</w:t>
      </w:r>
    </w:p>
    <w:p>
      <w:pPr>
        <w:spacing w:after="0" w:line="130" w:lineRule="exact"/>
        <w:rPr>
          <w:rFonts w:ascii="Times New Roman" w:cs="Times New Roman" w:eastAsia="Times New Roman" w:hAnsi="Times New Roman"/>
          <w:sz w:val="18"/>
          <w:szCs w:val="18"/>
          <w:color w:val="auto"/>
        </w:rPr>
      </w:pPr>
    </w:p>
    <w:p>
      <w:pPr>
        <w:ind w:left="2400" w:right="80" w:hanging="433"/>
        <w:spacing w:after="0" w:line="261" w:lineRule="auto"/>
        <w:tabs>
          <w:tab w:leader="none" w:pos="240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(if other than the Company) formed by such consolidation or into which the Company is merged or the Person which acquires by sale, assignment, transfer, lease, conveyance or other disposition the properties and assets of the Company (determined on a consolidated basis for the Company and its Subsidiaries) substantially as an entirety (the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3400" w:right="60" w:hanging="542"/>
        <w:spacing w:after="0" w:line="261" w:lineRule="auto"/>
        <w:tabs>
          <w:tab w:leader="none" w:pos="3400" w:val="left"/>
        </w:tabs>
        <w:numPr>
          <w:ilvl w:val="3"/>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a Person organized and validly existing under the laws of Mexico, the United States of America, any State thereof or the District of Columbia, Canada, the United Kingdom, Switzerland, Spain, the Netherlands, France, or any other country that is a member country of the European Union or of the OECD or any political subdivision thereof; and</w:t>
      </w:r>
    </w:p>
    <w:p>
      <w:pPr>
        <w:spacing w:after="0" w:line="85" w:lineRule="exact"/>
        <w:rPr>
          <w:rFonts w:ascii="Times New Roman" w:cs="Times New Roman" w:eastAsia="Times New Roman" w:hAnsi="Times New Roman"/>
          <w:sz w:val="18"/>
          <w:szCs w:val="18"/>
          <w:color w:val="auto"/>
        </w:rPr>
      </w:pPr>
    </w:p>
    <w:p>
      <w:pPr>
        <w:ind w:left="3400" w:right="60" w:hanging="542"/>
        <w:spacing w:after="0" w:line="258" w:lineRule="auto"/>
        <w:tabs>
          <w:tab w:leader="none" w:pos="3400" w:val="left"/>
        </w:tabs>
        <w:numPr>
          <w:ilvl w:val="3"/>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expressly assume by a supplemental indenture, executed and delivered to the Trustee, the due and punctual payment of the principal of, and premium, if any, and interest on all of the Notes and the performance and observance of every covenant of the Notes and the Indenture on the part of the Company to be performed or observed and provide the Trustee with an Officer’s Certificate and Opinion of Counsel, each stating that such transaction is otherwise in compliance with the Indenture.</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and the assumption contemplated by Section 5.01(a)</w:t>
      </w:r>
    </w:p>
    <w:p>
      <w:pPr>
        <w:spacing w:after="0" w:line="27" w:lineRule="exact"/>
        <w:rPr>
          <w:rFonts w:ascii="Times New Roman" w:cs="Times New Roman" w:eastAsia="Times New Roman" w:hAnsi="Times New Roman"/>
          <w:sz w:val="18"/>
          <w:szCs w:val="18"/>
          <w:color w:val="auto"/>
        </w:rPr>
      </w:pPr>
    </w:p>
    <w:p>
      <w:pPr>
        <w:ind w:left="98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 (including, without limitation, giving effect on a pro forma basis to any Indebtedness incurred or anticipated to be incurred or discharged and any Lien granted in connection with or in respect of the transaction), no Default or Event of Default shall have occurred or be continuing;</w:t>
      </w:r>
    </w:p>
    <w:p>
      <w:pPr>
        <w:spacing w:after="0" w:line="7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transaction resulting in a Successor Company, the Guarantor has confirmed by supplemental indenture that its Note Guarantee shall apply for Obligations of the Successor Company in respect of the Indenture and the Notes; and</w:t>
      </w:r>
    </w:p>
    <w:p>
      <w:pPr>
        <w:spacing w:after="0" w:line="53" w:lineRule="exact"/>
        <w:rPr>
          <w:rFonts w:ascii="Times New Roman" w:cs="Times New Roman" w:eastAsia="Times New Roman" w:hAnsi="Times New Roman"/>
          <w:sz w:val="18"/>
          <w:szCs w:val="18"/>
          <w:color w:val="auto"/>
        </w:rPr>
      </w:pPr>
    </w:p>
    <w:p>
      <w:pPr>
        <w:jc w:val="both"/>
        <w:ind w:left="980" w:right="380" w:firstLine="408"/>
        <w:spacing w:after="0" w:line="266" w:lineRule="auto"/>
        <w:tabs>
          <w:tab w:leader="none" w:pos="16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transaction resulting in a Successor Company, the Successor Company shall have delivered to the Trustee an Officer’s Certificate and an Opinion of Counsel, each stating that such transaction complies with this provision and that all conditions precedent provided for in the Indenture related to such transaction have been complied with.</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provisions of Section 5.01(a)(2) shall not apply to:</w:t>
      </w:r>
    </w:p>
    <w:p>
      <w:pPr>
        <w:spacing w:after="0" w:line="117" w:lineRule="exact"/>
        <w:rPr>
          <w:sz w:val="20"/>
          <w:szCs w:val="20"/>
          <w:color w:val="auto"/>
        </w:rPr>
      </w:pPr>
    </w:p>
    <w:p>
      <w:pPr>
        <w:ind w:left="1640" w:hanging="252"/>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the properties or assets of a Subsidiary to the Company or another Subsidiary;</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a Subsidiary into the Company or another Subsidiary; or</w:t>
      </w:r>
    </w:p>
    <w:p>
      <w:pPr>
        <w:spacing w:after="0" w:line="117" w:lineRule="exact"/>
        <w:rPr>
          <w:rFonts w:ascii="Times New Roman" w:cs="Times New Roman" w:eastAsia="Times New Roman" w:hAnsi="Times New Roman"/>
          <w:sz w:val="18"/>
          <w:szCs w:val="18"/>
          <w:color w:val="auto"/>
        </w:rPr>
      </w:pPr>
    </w:p>
    <w:p>
      <w:pPr>
        <w:ind w:left="5420" w:right="2460" w:hanging="4032"/>
        <w:spacing w:after="0" w:line="454" w:lineRule="auto"/>
        <w:tabs>
          <w:tab w:leader="none" w:pos="164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Company into the Guarantor or a Wholly Owned Subsidiary of the Company. 21</w:t>
      </w:r>
    </w:p>
    <w:p>
      <w:pPr>
        <w:sectPr>
          <w:pgSz w:w="11900" w:h="16838" w:orient="portrait"/>
          <w:cols w:equalWidth="0" w:num="1">
            <w:col w:w="11000"/>
          </w:cols>
          <w:pgMar w:left="440" w:top="270" w:right="459" w:bottom="1440" w:gutter="0" w:footer="0" w:header="0"/>
        </w:sectPr>
      </w:pPr>
    </w:p>
    <w:bookmarkStart w:id="159" w:name="page160"/>
    <w:bookmarkEnd w:id="159"/>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For purposes of this covenant, the transfer (by lease, assignment, sale or otherwise, in a single transaction or series of transactions) of all or substantially all of the properties or assets of one or more Subsidiaries of the Company (other than to the Company or another Subsidiary), the Capital Stock of which constitutes all or substantially all of the properties and assets of the Company (determined on a consolidated basis for the Company and its Subsidiaries), shall be deemed to be the transfer of all or substantially all of the properties and assets of the Company.</w:t>
      </w:r>
    </w:p>
    <w:p>
      <w:pPr>
        <w:spacing w:after="0" w:line="180"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(d)  The Successor Company shall succeed to, and be substituted for, the Company under the Indenture and the Notes, as applicable. Compliance with this covenant shall not affect the obligations of the Company (including a Successor Company, if applicable) under Section 4.02, if applicable.</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(e)  The Guarantor shall not, and the Company shall not cause or permit the Guarantor to, consolidate with or merge into, or sell or dispose of all or substantially all of its assets to, any Person (other than the Company), unless:</w:t>
      </w:r>
    </w:p>
    <w:p>
      <w:pPr>
        <w:spacing w:after="0" w:line="54" w:lineRule="exact"/>
        <w:rPr>
          <w:sz w:val="20"/>
          <w:szCs w:val="20"/>
          <w:color w:val="auto"/>
        </w:rPr>
      </w:pPr>
    </w:p>
    <w:p>
      <w:pPr>
        <w:jc w:val="both"/>
        <w:ind w:left="980" w:firstLine="408"/>
        <w:spacing w:after="0" w:line="266" w:lineRule="auto"/>
        <w:tabs>
          <w:tab w:leader="none" w:pos="16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(if such Person is the surviving entity) (the “</w:t>
      </w:r>
      <w:r>
        <w:rPr>
          <w:rFonts w:ascii="Times New Roman" w:cs="Times New Roman" w:eastAsia="Times New Roman" w:hAnsi="Times New Roman"/>
          <w:sz w:val="18"/>
          <w:szCs w:val="18"/>
          <w:u w:val="single" w:color="auto"/>
          <w:color w:val="auto"/>
        </w:rPr>
        <w:t>Successor Guarantor</w:t>
      </w:r>
      <w:r>
        <w:rPr>
          <w:rFonts w:ascii="Times New Roman" w:cs="Times New Roman" w:eastAsia="Times New Roman" w:hAnsi="Times New Roman"/>
          <w:sz w:val="18"/>
          <w:szCs w:val="18"/>
          <w:color w:val="auto"/>
        </w:rPr>
        <w:t>”) assumes all of the obligations of the Guarantor in respect of its Note Guarantee by executing a supplemental indenture and providing the Trustee with an Officer’s Certificate and Opinion of Counsel, and such transaction is otherwise in compliance with the Indenture;</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Guarantee is to be, or has been, released as provided under Article Three;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or other disposition of substantially all of the Guarantor’s assets is otherwise permitted under the Indenture.</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(f)  Subject to certain limitations described in the Indenture, the Successor Guarantor shall succeed to, and be substituted for, the Guarantor under the Indenture and the Guarantor’s Note Guarantee.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The provisions of Section 5.01(f) shall not apply to:</w:t>
      </w:r>
    </w:p>
    <w:p>
      <w:pPr>
        <w:spacing w:after="0" w:line="117" w:lineRule="exact"/>
        <w:rPr>
          <w:sz w:val="20"/>
          <w:szCs w:val="20"/>
          <w:color w:val="auto"/>
        </w:rPr>
      </w:pPr>
    </w:p>
    <w:p>
      <w:pPr>
        <w:ind w:left="1640" w:hanging="252"/>
        <w:spacing w:after="0"/>
        <w:tabs>
          <w:tab w:leader="none" w:pos="1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the properties or assets of the Guarantor to the Company;</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Guarantor into the Company;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Guarantor into a Wholly Owned Subsidiary of the Company.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Section 6.01 shall replace Section 7.01 of the Base Indenture in its entirety with respect to the Notes only.</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(a)  “Event of Default,” wherever used herein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8" w:lineRule="exact"/>
        <w:rPr>
          <w:sz w:val="20"/>
          <w:szCs w:val="20"/>
          <w:color w:val="auto"/>
        </w:rPr>
      </w:pPr>
    </w:p>
    <w:p>
      <w:pPr>
        <w:ind w:left="980" w:right="380" w:firstLine="408"/>
        <w:spacing w:after="0" w:line="282" w:lineRule="auto"/>
        <w:tabs>
          <w:tab w:leader="none" w:pos="16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any Note, including the failure to make a required payment to purchase Notes tendered pursuant to an optional redemption or a Change of Control Offer;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60" w:name="page161"/>
    <w:bookmarkEnd w:id="160"/>
    <w:p>
      <w:pPr>
        <w:ind w:left="1640" w:hanging="252"/>
        <w:spacing w:after="0"/>
        <w:tabs>
          <w:tab w:leader="none" w:pos="1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for 30 days or more in the payment when due of interest or Additional Amounts on any Notes;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perform or comply with any of the provisions described under Article Five of the First Supplemental Indenture.</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or any of its Subsidiary to comply with, or in the case of non-guarantor Subsidiaries, to perform according to, any other covenant or agreement contained in the Indenture or in such Notes for 45 days or more after written notice to the Company from the Trustee or the Holders of at least 25% in aggregate principal amount of the outstanding Notes;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of its Subsidiary under any Indebtedness which:</w:t>
      </w:r>
    </w:p>
    <w:p>
      <w:pPr>
        <w:spacing w:after="0" w:line="117" w:lineRule="exact"/>
        <w:rPr>
          <w:sz w:val="20"/>
          <w:szCs w:val="20"/>
          <w:color w:val="auto"/>
        </w:rPr>
      </w:pPr>
    </w:p>
    <w:p>
      <w:pPr>
        <w:ind w:left="1420" w:firstLine="383"/>
        <w:spacing w:after="0" w:line="266" w:lineRule="auto"/>
        <w:rPr>
          <w:sz w:val="20"/>
          <w:szCs w:val="20"/>
          <w:color w:val="auto"/>
        </w:rPr>
      </w:pPr>
      <w:r>
        <w:rPr>
          <w:rFonts w:ascii="Times New Roman" w:cs="Times New Roman" w:eastAsia="Times New Roman" w:hAnsi="Times New Roman"/>
          <w:sz w:val="18"/>
          <w:szCs w:val="18"/>
          <w:color w:val="auto"/>
        </w:rPr>
        <w:t>(i)  is caused by a failure to pay principal of or premium, if any, when due or interest on such Indebtedness prior to the later of the expiration of any applicable grace period provided in such Indebtedness on the date of such default or five days past when due; or</w:t>
      </w:r>
    </w:p>
    <w:p>
      <w:pPr>
        <w:spacing w:after="0" w:line="6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(ii)   results in the acceleration of such Indebtedness prior to its stated maturity; and</w:t>
      </w:r>
    </w:p>
    <w:p>
      <w:pPr>
        <w:spacing w:after="0" w:line="117" w:lineRule="exact"/>
        <w:rPr>
          <w:sz w:val="20"/>
          <w:szCs w:val="20"/>
          <w:color w:val="auto"/>
        </w:rPr>
      </w:pPr>
    </w:p>
    <w:p>
      <w:pPr>
        <w:ind w:left="1420" w:right="100" w:firstLine="383"/>
        <w:spacing w:after="0" w:line="282" w:lineRule="auto"/>
        <w:rPr>
          <w:sz w:val="20"/>
          <w:szCs w:val="20"/>
          <w:color w:val="auto"/>
        </w:rPr>
      </w:pPr>
      <w:r>
        <w:rPr>
          <w:rFonts w:ascii="Times New Roman" w:cs="Times New Roman" w:eastAsia="Times New Roman" w:hAnsi="Times New Roman"/>
          <w:sz w:val="18"/>
          <w:szCs w:val="18"/>
          <w:color w:val="auto"/>
        </w:rPr>
        <w:t>(iii)  the principal or accreted amount of Indebtedness covered by (a) or (b) at the relevant time, aggregates $100.0 million or more;</w:t>
      </w:r>
    </w:p>
    <w:p>
      <w:pPr>
        <w:spacing w:after="0" w:line="54" w:lineRule="exact"/>
        <w:rPr>
          <w:sz w:val="20"/>
          <w:szCs w:val="20"/>
          <w:color w:val="auto"/>
        </w:rPr>
      </w:pPr>
    </w:p>
    <w:p>
      <w:pPr>
        <w:ind w:left="980" w:right="820" w:firstLine="408"/>
        <w:spacing w:after="0" w:line="282" w:lineRule="auto"/>
        <w:tabs>
          <w:tab w:leader="none" w:pos="16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of its Subsidiaries to pay one or more final judgments against any of them, aggregating $100.0 million or more, which judgment(s) are not paid, discharged or stayed for a period of 60 days or more;</w:t>
      </w:r>
    </w:p>
    <w:p>
      <w:pPr>
        <w:spacing w:after="0" w:line="51" w:lineRule="exact"/>
        <w:rPr>
          <w:rFonts w:ascii="Times New Roman" w:cs="Times New Roman" w:eastAsia="Times New Roman" w:hAnsi="Times New Roman"/>
          <w:sz w:val="18"/>
          <w:szCs w:val="18"/>
          <w:color w:val="auto"/>
        </w:rPr>
      </w:pPr>
    </w:p>
    <w:p>
      <w:pPr>
        <w:ind w:left="980" w:right="200" w:firstLine="408"/>
        <w:spacing w:after="0" w:line="267" w:lineRule="auto"/>
        <w:tabs>
          <w:tab w:leader="none" w:pos="16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events of bankruptcy under applicable law (including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quiebra</w:t>
      </w:r>
      <w:r>
        <w:rPr>
          <w:rFonts w:ascii="Times New Roman" w:cs="Times New Roman" w:eastAsia="Times New Roman" w:hAnsi="Times New Roman"/>
          <w:sz w:val="18"/>
          <w:szCs w:val="18"/>
          <w:color w:val="auto"/>
        </w:rPr>
        <w:t>) affecting the Company, the Guarantor, or any of the Company’s Significant Subsidiaries or group of Subsidiaries that, taken together, would constitute a Significant Subsidiary; or</w:t>
      </w:r>
    </w:p>
    <w:p>
      <w:pPr>
        <w:spacing w:after="0" w:line="67"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any Note Guarantee is held to be unenforceable or invalid in a judicial proceeding or ceases for any reason to be in full force and effect or the Guarantor, or any Person acting on behalf of the Guarantor, denies or disaffirms the Guarantor’s obligations under its Note Guarantee.</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(b)  If an Event of Default (other than an Event of Default specified in clause (7) above with respect to the Company) shall occur and be continuing, the Trustee or the Holders of at least 25% in principal amount of outstanding Notes may declare the unpaid principal of (and premium, if any) and accrued and unpaid interest on all the Notes to be immediately due and payable by notice in writing to the Company and the Trustee specifying the Event of Default and that it is a “notice of acceleration.” If an Event of Default specified in clause (7) above occurs with respect to the Company, then the unpaid principal of (and premium, if any) and accrued and unpaid interest on all the Notes shall become immediately due and payable without any declaration or other act on the part of the Trustee or any Holder.</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and Rescission.</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Section 6.02 shall replace Section 7.02 of the Base Indenture in its entirety with respect to the Notes only:</w:t>
      </w:r>
    </w:p>
    <w:p>
      <w:pPr>
        <w:spacing w:after="0" w:line="225"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(a)  The Trustee is not to be charged with knowledge of any Default or Event of Default or knowledge of any cure of any Default or Event of Default unless written notice of such Default or Event of Default has been given to an authorized officer of the Trustee with direct responsibility for the administration of the Indenture by the Company or any Holder.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161" w:name="page162"/>
    <w:bookmarkEnd w:id="161"/>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At any time after a declaration of acceleration with respect to the Notes as described in the preceding paragraph, the Holders of a majority in principal amount of the Notes may rescind and cancel such declaration and its consequences:</w:t>
      </w:r>
    </w:p>
    <w:p>
      <w:pPr>
        <w:spacing w:after="0" w:line="54" w:lineRule="exact"/>
        <w:rPr>
          <w:sz w:val="20"/>
          <w:szCs w:val="20"/>
          <w:color w:val="auto"/>
        </w:rPr>
      </w:pPr>
    </w:p>
    <w:p>
      <w:pPr>
        <w:ind w:left="1640" w:hanging="252"/>
        <w:spacing w:after="0"/>
        <w:tabs>
          <w:tab w:leader="none" w:pos="1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rescission would not conflict with any judgment or decree;</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existing Events of Default have been cured or waived, except nonpayment of principal or interest that has become due solely because of the acceleration;</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53" w:lineRule="exact"/>
        <w:rPr>
          <w:rFonts w:ascii="Times New Roman" w:cs="Times New Roman" w:eastAsia="Times New Roman" w:hAnsi="Times New Roman"/>
          <w:sz w:val="18"/>
          <w:szCs w:val="18"/>
          <w:color w:val="auto"/>
        </w:rPr>
      </w:pPr>
    </w:p>
    <w:p>
      <w:pPr>
        <w:ind w:left="980" w:right="660" w:firstLine="408"/>
        <w:spacing w:after="0" w:line="282" w:lineRule="auto"/>
        <w:tabs>
          <w:tab w:leader="none" w:pos="16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paid the Trustee its reasonable compensation and reimbursed the Trustee for its reasonable expenses, disbursements and advances.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No rescission shall affect any subsequent Default or impair any rights relating thereto.</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(d)  The Holders of a majority in principal amount of the Notes may waive any existing Default or Event of Default under the Indenture, and its consequences, except a default in the payment of the principal of, premium, if any, or interest on any Notes.</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(e)  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with respect to such Notes.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No Holder of any Notes shall have any right to institute any proceeding with respect to the Indenture or for any remedy thereunder,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w:t>
      </w:r>
    </w:p>
    <w:p>
      <w:pPr>
        <w:spacing w:after="0" w:line="99" w:lineRule="exact"/>
        <w:rPr>
          <w:sz w:val="20"/>
          <w:szCs w:val="20"/>
          <w:color w:val="auto"/>
        </w:rPr>
      </w:pPr>
    </w:p>
    <w:p>
      <w:pPr>
        <w:ind w:left="1640" w:hanging="252"/>
        <w:spacing w:after="0"/>
        <w:tabs>
          <w:tab w:leader="none" w:pos="1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gives to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principal amount of the then outstanding Notes make a written request to pursue the remedy;</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of the Notes provide the Trustee indemnity satisfactory to it;</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within 60 days; and</w:t>
      </w:r>
    </w:p>
    <w:p>
      <w:pPr>
        <w:spacing w:after="0" w:line="117" w:lineRule="exact"/>
        <w:rPr>
          <w:rFonts w:ascii="Times New Roman" w:cs="Times New Roman" w:eastAsia="Times New Roman" w:hAnsi="Times New Roman"/>
          <w:sz w:val="18"/>
          <w:szCs w:val="18"/>
          <w:color w:val="auto"/>
        </w:rPr>
      </w:pPr>
    </w:p>
    <w:p>
      <w:pPr>
        <w:ind w:left="980" w:right="520" w:firstLine="408"/>
        <w:spacing w:after="0" w:line="282" w:lineRule="auto"/>
        <w:tabs>
          <w:tab w:leader="none" w:pos="16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principal amount of the outstanding Notes do not give the Trustee a written direction which, in the opinion of the Trustee, is inconsistent with the request;</w:t>
      </w:r>
    </w:p>
    <w:p>
      <w:pPr>
        <w:spacing w:after="0" w:line="16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Holder of a Note may institute suit for enforcement of payment of the principal of and premium, if any, or interest on such Note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respective due dates expressed in such Note.</w:t>
      </w:r>
    </w:p>
    <w:p>
      <w:pPr>
        <w:spacing w:after="0" w:line="160"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(g)  The Company is required to deliver to the Trustee written notice of any event which would constitute certain Defaults or Events of Default, their status and what action the Company is taking or proposes to take in respect thereof. In addition, the Company and the Guarantor is required to deliver to the Trustee, within 105 days after the end of each fiscal year, an Officer’s Certificate indicating whether the signers thereof know of any Default or Event of Default that occurred during the previous fiscal year. The Indenture provides that if a Default or Event of Default occurs, is continuing and is actually known to the Trustee, the Trustee must deliver to each Holder notice of the Default or Event of Default within 90 days after the occurrence thereof. Except in the case of a Default or Event of Default in the payment of principal of, premium, if any, or interest on any Note, the Trustee may withhold notice if and so long as a committee of its trust officers in good faith determines that withholding notice is in the interest of the Holders.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SEVEN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Optional Redemption by the Company.</w:t>
      </w:r>
    </w:p>
    <w:p>
      <w:pPr>
        <w:spacing w:after="0" w:line="11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Notes shall be redeemable at the option of the Company as set forth under the heading “Optional Redemption” in the form of security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Optional Redemption Procedures.</w:t>
      </w:r>
    </w:p>
    <w:p>
      <w:pPr>
        <w:spacing w:after="0" w:line="119" w:lineRule="exact"/>
        <w:rPr>
          <w:sz w:val="20"/>
          <w:szCs w:val="20"/>
          <w:color w:val="auto"/>
        </w:rPr>
      </w:pPr>
    </w:p>
    <w:p>
      <w:pPr>
        <w:ind w:right="240" w:firstLine="991"/>
        <w:spacing w:after="0" w:line="277" w:lineRule="auto"/>
        <w:rPr>
          <w:sz w:val="20"/>
          <w:szCs w:val="20"/>
          <w:color w:val="auto"/>
        </w:rPr>
      </w:pPr>
      <w:r>
        <w:rPr>
          <w:rFonts w:ascii="Times New Roman" w:cs="Times New Roman" w:eastAsia="Times New Roman" w:hAnsi="Times New Roman"/>
          <w:sz w:val="17"/>
          <w:szCs w:val="17"/>
          <w:color w:val="auto"/>
        </w:rPr>
        <w:t>(a)  In the event that less than all of the Notes are to be redeemed at any time, selection of Notes for redemption shall be made by the Trustee in compliance with the requirements of the principal national securities exchange, if any, on which the Notes are listed or, if the Notes are not then listed on a national securities exchange, in accordance with the applicable procedures of DTC, Euroclear or Clearstream, as applicable, or at the Company’s discretion, by lot. No Notes of a principal amount of $2,000 or less may be redeemed in part and Notes of a principal amount in excess of $2,000 may be redeemed in part in multiples of $1,000 (provided that the unredeemed portion shall be in a denomination of at least $2,000).</w:t>
      </w:r>
    </w:p>
    <w:p>
      <w:pPr>
        <w:spacing w:after="0" w:line="168"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(b)  Notice of any redemption shall be delivered electronically in the case of Global Notes or mailed by first-class mail, postage prepaid, at least 10 but not more than 60 days before the redemption date to each Holder of Notes to be redeemed at its registered address. If Notes are to be redeemed in part only, the notice of redemption shall state the portion of the principal amount thereof to be redeemed. A Note in a principal amount equal to the unredeemed portion thereof (if any) shall be issued in the name of the Holder thereof upon cancellation of the original Note (or appropriate adjustments to the amount and beneficial interests in a Global Note shall be made, as appropriate).</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(c)  Any redemption and notice thereof pursuant to the Indenture may, in the Company’s discretion, be subject to the satisfaction of one or more conditions precedent, in which case, such notice shall describe each such condition. If any such condition precedent has not been satisfied, the Company shall provide notice to the Trustee prior to the close of business two Business Days prior to the redemption date (or such shorter period as may be acceptable to the Trustee). Upon receipt of such notice, the notice of redemption shall be rescinded or delayed, and the redemption of the Notes shall be rescinded or delayed as provided in such notice. Upon receipt, the Trustee shall provide such notice to each Holder of the Notes in the same manner in which the notice of redemption was given.</w:t>
      </w:r>
    </w:p>
    <w:p>
      <w:pPr>
        <w:spacing w:after="0" w:line="18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(d)  The Company shall pay the redemption price for any Note on the date of redemption. On and after the redemption date, interest shall cease to accrue on Notes or portions thereof called for redemption as long as the Company has deposited with the Trustee funds in satisfaction of the applicable redemption price pursuant to the Indenture. Upon redemption of any Notes by the Company, such redeemed Notes shall be cancelled.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Prior to the publication of any notice of redemption pursuant to Section 7.01, the Company shall deliver to the Trustee: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  an Officer’s Certificate stating that the Company is entitled to effect the redemption and setting forth a statement of facts showing that the conditions precedent to its right to redeem have occurred, and</w:t>
      </w:r>
    </w:p>
    <w:p>
      <w:pPr>
        <w:spacing w:after="0" w:line="162"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(ii)  an Opinion of Counsel or an opinion of a tax consultant, in either case of recognized standing in the affected Relevant Taxing Jurisdiction to the effect that the Company or the Guarantor, as the case may be, has or shall become obligated to pay such Additional Amounts as a result of such change or amendment.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EIGHT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Without Consent of Holders.</w:t>
      </w:r>
    </w:p>
    <w:p>
      <w:pPr>
        <w:spacing w:after="0" w:line="119"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sz w:val="20"/>
          <w:szCs w:val="20"/>
          <w:color w:val="auto"/>
        </w:rPr>
        <w:tab/>
      </w:r>
      <w:r>
        <w:rPr>
          <w:rFonts w:ascii="Times New Roman" w:cs="Times New Roman" w:eastAsia="Times New Roman" w:hAnsi="Times New Roman"/>
          <w:sz w:val="17"/>
          <w:szCs w:val="17"/>
          <w:color w:val="auto"/>
        </w:rPr>
        <w:t>From time to time, the Company, the Guarantor and the Trustee, without the consent of the Holders, may amend the Indenture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for certain specified purposes, including:</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curing ambiguities, defects or inconsistencies;</w:t>
      </w:r>
    </w:p>
    <w:p>
      <w:pPr>
        <w:spacing w:after="0" w:line="117" w:lineRule="exact"/>
        <w:rPr>
          <w:sz w:val="20"/>
          <w:szCs w:val="20"/>
          <w:color w:val="auto"/>
        </w:rPr>
      </w:pPr>
    </w:p>
    <w:p>
      <w:pPr>
        <w:jc w:val="both"/>
        <w:ind w:left="980" w:right="100" w:firstLine="401"/>
        <w:spacing w:after="0" w:line="266" w:lineRule="auto"/>
        <w:rPr>
          <w:sz w:val="20"/>
          <w:szCs w:val="20"/>
          <w:color w:val="auto"/>
        </w:rPr>
      </w:pPr>
      <w:r>
        <w:rPr>
          <w:rFonts w:ascii="Times New Roman" w:cs="Times New Roman" w:eastAsia="Times New Roman" w:hAnsi="Times New Roman"/>
          <w:sz w:val="18"/>
          <w:szCs w:val="18"/>
          <w:color w:val="auto"/>
        </w:rPr>
        <w:t>(ii)  conforming the text of this First Supplemental Indenture or the Notes to any provision of the “Description of Notes” section of the prospectus supplement of the Company, dated as of June 2, 2026, to the extent such provision was intended to be a verbatim recitation of the text of this First Supplemental Indenture, the Notes or the Notes Guarantee (as applicable);</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adding a Note Guarantee or covenants;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issuing Additional Notes;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releasing a Note Guarantee pursuant to the terms of the Indenture;</w:t>
      </w:r>
    </w:p>
    <w:p>
      <w:pPr>
        <w:spacing w:after="0" w:line="117" w:lineRule="exact"/>
        <w:rPr>
          <w:sz w:val="20"/>
          <w:szCs w:val="20"/>
          <w:color w:val="auto"/>
        </w:rPr>
      </w:pPr>
    </w:p>
    <w:p>
      <w:pPr>
        <w:ind w:left="1380"/>
        <w:spacing w:after="0"/>
        <w:tabs>
          <w:tab w:leader="none" w:pos="1860" w:val="left"/>
        </w:tabs>
        <w:rPr>
          <w:sz w:val="20"/>
          <w:szCs w:val="20"/>
          <w:color w:val="auto"/>
        </w:rPr>
      </w:pPr>
      <w:r>
        <w:rPr>
          <w:rFonts w:ascii="Times New Roman" w:cs="Times New Roman" w:eastAsia="Times New Roman" w:hAnsi="Times New Roman"/>
          <w:sz w:val="18"/>
          <w:szCs w:val="18"/>
          <w:color w:val="auto"/>
        </w:rPr>
        <w:t xml:space="preserve">(vi) </w:t>
      </w:r>
      <w:r>
        <w:rPr>
          <w:sz w:val="20"/>
          <w:szCs w:val="20"/>
          <w:color w:val="auto"/>
        </w:rPr>
        <w:tab/>
      </w:r>
      <w:r>
        <w:rPr>
          <w:rFonts w:ascii="Times New Roman" w:cs="Times New Roman" w:eastAsia="Times New Roman" w:hAnsi="Times New Roman"/>
          <w:sz w:val="17"/>
          <w:szCs w:val="17"/>
          <w:color w:val="auto"/>
        </w:rPr>
        <w:t>releasing a Lien granted in favor of the Holders of the notes pursuant to Section 4.01 of this First Supplemental Indenture;</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(vii)   evidencing a Successor Company, Successor Guarantor or successor trustee; and</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(viii)   and making other changes which do not adversely affect the rights of any of the Holders of notes in any material respect.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(b)  In executing a supplemental indenture to effect such amendments, the Trustee will be entitled to rely on, and will be fully protected in relying on, such evidence as it deems appropriate, including solely on an Opinion of Counsel and Officer’s Certificate.</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With Consent of Holders.</w:t>
      </w:r>
    </w:p>
    <w:p>
      <w:pPr>
        <w:spacing w:after="0" w:line="11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(a)  Other modifications and amendments of the Indenture or the notes may be made with the consent of the Holders of a majority in principal amount of the then outstanding notes, issued under the Indenture, except that, without the consent of each Holder of the Notes affected thereby, no amendment may:</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Reduce the amount of Notes whose Holders must consent to an amendment or waiver;</w:t>
      </w:r>
    </w:p>
    <w:p>
      <w:pPr>
        <w:spacing w:after="0" w:line="117" w:lineRule="exact"/>
        <w:rPr>
          <w:sz w:val="20"/>
          <w:szCs w:val="20"/>
          <w:color w:val="auto"/>
        </w:rPr>
      </w:pPr>
    </w:p>
    <w:p>
      <w:pPr>
        <w:ind w:left="980" w:right="20" w:firstLine="401"/>
        <w:spacing w:after="0" w:line="282" w:lineRule="auto"/>
        <w:rPr>
          <w:sz w:val="20"/>
          <w:szCs w:val="20"/>
          <w:color w:val="auto"/>
        </w:rPr>
      </w:pPr>
      <w:r>
        <w:rPr>
          <w:rFonts w:ascii="Times New Roman" w:cs="Times New Roman" w:eastAsia="Times New Roman" w:hAnsi="Times New Roman"/>
          <w:sz w:val="18"/>
          <w:szCs w:val="18"/>
          <w:color w:val="auto"/>
        </w:rPr>
        <w:t>(ii)  Reduce the rate of or change or have the effect of changing the time for payment of interest, including defaulted interest, on any Notes;</w:t>
      </w:r>
    </w:p>
    <w:p>
      <w:pPr>
        <w:spacing w:after="0" w:line="54" w:lineRule="exact"/>
        <w:rPr>
          <w:sz w:val="20"/>
          <w:szCs w:val="20"/>
          <w:color w:val="auto"/>
        </w:rPr>
      </w:pPr>
    </w:p>
    <w:p>
      <w:pPr>
        <w:ind w:left="980" w:right="240" w:firstLine="401"/>
        <w:spacing w:after="0" w:line="282" w:lineRule="auto"/>
        <w:rPr>
          <w:sz w:val="20"/>
          <w:szCs w:val="20"/>
          <w:color w:val="auto"/>
        </w:rPr>
      </w:pPr>
      <w:r>
        <w:rPr>
          <w:rFonts w:ascii="Times New Roman" w:cs="Times New Roman" w:eastAsia="Times New Roman" w:hAnsi="Times New Roman"/>
          <w:sz w:val="18"/>
          <w:szCs w:val="18"/>
          <w:color w:val="auto"/>
        </w:rPr>
        <w:t>(iii)  reduce the principal of or change or have the effect of changing the fixed maturity of any Notes or change the date on which any Note may be subject to redemption (other than a reduction in the related notice period) or reduce the redemption price therefor;</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make any Notes payable in a currency other than that stated in the Notes;</w:t>
      </w:r>
    </w:p>
    <w:p>
      <w:pPr>
        <w:spacing w:after="0" w:line="117" w:lineRule="exact"/>
        <w:rPr>
          <w:sz w:val="20"/>
          <w:szCs w:val="20"/>
          <w:color w:val="auto"/>
        </w:rPr>
      </w:pPr>
    </w:p>
    <w:p>
      <w:pPr>
        <w:ind w:left="980" w:right="180" w:firstLine="401"/>
        <w:spacing w:after="0" w:line="266" w:lineRule="auto"/>
        <w:rPr>
          <w:sz w:val="20"/>
          <w:szCs w:val="20"/>
          <w:color w:val="auto"/>
        </w:rPr>
      </w:pPr>
      <w:r>
        <w:rPr>
          <w:rFonts w:ascii="Times New Roman" w:cs="Times New Roman" w:eastAsia="Times New Roman" w:hAnsi="Times New Roman"/>
          <w:sz w:val="18"/>
          <w:szCs w:val="18"/>
          <w:color w:val="auto"/>
        </w:rPr>
        <w:t>(v)  make any change in provisions of the Indenture entitling each Holder to receive payment of principal of, premium, if any, and interest on such Note on or after the due date thereof or to bring suit to enforce such payment, or permitting Holders of a majority in principal amount of notes to waive the Default or Events of Default;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6" w:right="439" w:bottom="1440" w:gutter="0" w:footer="0" w:header="0"/>
        </w:sectPr>
      </w:pPr>
    </w:p>
    <w:bookmarkStart w:id="164" w:name="page165"/>
    <w:bookmarkEnd w:id="164"/>
    <w:p>
      <w:pPr>
        <w:ind w:left="980" w:firstLine="40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  amend, change or modify in any material respect the obligation of the Company to make and consummate a Change of Control Offer in respect of a Change of Control that has occurred;</w:t>
      </w:r>
    </w:p>
    <w:p>
      <w:pPr>
        <w:spacing w:after="0" w:line="54" w:lineRule="exact"/>
        <w:rPr>
          <w:sz w:val="20"/>
          <w:szCs w:val="20"/>
          <w:color w:val="auto"/>
        </w:rPr>
      </w:pPr>
    </w:p>
    <w:p>
      <w:pPr>
        <w:jc w:val="both"/>
        <w:ind w:left="980" w:right="140" w:firstLine="401"/>
        <w:spacing w:after="0" w:line="266" w:lineRule="auto"/>
        <w:rPr>
          <w:sz w:val="20"/>
          <w:szCs w:val="20"/>
          <w:color w:val="auto"/>
        </w:rPr>
      </w:pPr>
      <w:r>
        <w:rPr>
          <w:rFonts w:ascii="Times New Roman" w:cs="Times New Roman" w:eastAsia="Times New Roman" w:hAnsi="Times New Roman"/>
          <w:sz w:val="18"/>
          <w:szCs w:val="18"/>
          <w:color w:val="auto"/>
        </w:rPr>
        <w:t>(vii)  make any change in the provisions of the Indenture described under Section 4.04 of this First Supplemental Indenture that in the Company’s determination adversely affects the rights of the Holders of the notes or amend the terms of the notes in a way that would result in a loss of exemption from Taxes;</w:t>
      </w:r>
    </w:p>
    <w:p>
      <w:pPr>
        <w:spacing w:after="0" w:line="68" w:lineRule="exact"/>
        <w:rPr>
          <w:sz w:val="20"/>
          <w:szCs w:val="20"/>
          <w:color w:val="auto"/>
        </w:rPr>
      </w:pPr>
    </w:p>
    <w:p>
      <w:pPr>
        <w:ind w:left="980" w:right="180" w:firstLine="401"/>
        <w:spacing w:after="0" w:line="282" w:lineRule="auto"/>
        <w:rPr>
          <w:sz w:val="20"/>
          <w:szCs w:val="20"/>
          <w:color w:val="auto"/>
        </w:rPr>
      </w:pPr>
      <w:r>
        <w:rPr>
          <w:rFonts w:ascii="Times New Roman" w:cs="Times New Roman" w:eastAsia="Times New Roman" w:hAnsi="Times New Roman"/>
          <w:sz w:val="18"/>
          <w:szCs w:val="18"/>
          <w:color w:val="auto"/>
        </w:rPr>
        <w:t>(viii)  make any change to the provisions of the Indenture or the notes that adversely affects the priority in right of payment of the notes (other than with respect to Section 4.01 of this First Supplemental Indenture); and</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(ix)   impair the right of any Holder to sue for payment of any amount due on its notes.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Legal Defeasance.</w:t>
      </w:r>
    </w:p>
    <w:p>
      <w:pPr>
        <w:spacing w:after="0" w:line="11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Company may, at its option and at any time, elect to have its obligations discharged with respect to the outstanding Notes (“</w:t>
      </w:r>
      <w:r>
        <w:rPr>
          <w:rFonts w:ascii="Times New Roman" w:cs="Times New Roman" w:eastAsia="Times New Roman" w:hAnsi="Times New Roman"/>
          <w:sz w:val="18"/>
          <w:szCs w:val="18"/>
          <w:u w:val="single" w:color="auto"/>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Such Legal Defeasance means that the Company shall be deemed to have paid and discharged the entire indebtedness represented by the outstanding Notes upon fulfillment of the conditions described below, except for:</w:t>
      </w:r>
    </w:p>
    <w:p>
      <w:pPr>
        <w:spacing w:after="0" w:line="68" w:lineRule="exact"/>
        <w:rPr>
          <w:sz w:val="20"/>
          <w:szCs w:val="20"/>
          <w:color w:val="auto"/>
        </w:rPr>
      </w:pPr>
    </w:p>
    <w:p>
      <w:pPr>
        <w:ind w:left="980" w:right="360" w:firstLine="408"/>
        <w:spacing w:after="0" w:line="282" w:lineRule="auto"/>
        <w:tabs>
          <w:tab w:leader="none" w:pos="16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to receive payments in respect of the principal of, premium, if any, and interest on the Notes when such payments are due from the trust described below;</w:t>
      </w:r>
    </w:p>
    <w:p>
      <w:pPr>
        <w:spacing w:after="0" w:line="53" w:lineRule="exact"/>
        <w:rPr>
          <w:rFonts w:ascii="Times New Roman" w:cs="Times New Roman" w:eastAsia="Times New Roman" w:hAnsi="Times New Roman"/>
          <w:sz w:val="18"/>
          <w:szCs w:val="18"/>
          <w:color w:val="auto"/>
        </w:rPr>
      </w:pPr>
    </w:p>
    <w:p>
      <w:pPr>
        <w:ind w:left="980" w:right="540" w:firstLine="408"/>
        <w:spacing w:after="0" w:line="282" w:lineRule="auto"/>
        <w:tabs>
          <w:tab w:leader="none" w:pos="16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the Notes concerning issuing temporary Notes, registration of Notes, mutilated, destroyed, lost or stolen Notes and the maintenance of an office or agency for payments;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 duties and immunities of the Trustee and the Company’s obligations in connection therewith;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9.01 and Section 9.03 of this First Supplemental Indenture.</w:t>
      </w:r>
    </w:p>
    <w:p>
      <w:pPr>
        <w:spacing w:after="0" w:line="22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In addition, the Company may, at its option and at any time, elect to have all obligations released with respect to certain covenants set forth in Article Four of this Supplemental Indenture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and thereafter any omission to comply with such obligations shall not constitute a Default or Event of Default with respect to the Notes. In the event Covenant Defeasance occurs, certain events (not including non-payment, bankruptcy, receivership, reorganization and insolvency events) described under Section 6.01 of this Supplemental Indenture shall no longer constitute an Event of Default with respect to the Notes.</w:t>
      </w:r>
    </w:p>
    <w:p>
      <w:pPr>
        <w:spacing w:after="0" w:line="183"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Exercising Legal Defeasance and Covenant Defeasance</w:t>
      </w:r>
      <w:r>
        <w:rPr>
          <w:rFonts w:ascii="Times New Roman" w:cs="Times New Roman" w:eastAsia="Times New Roman" w:hAnsi="Times New Roman"/>
          <w:sz w:val="18"/>
          <w:szCs w:val="18"/>
          <w:color w:val="auto"/>
        </w:rPr>
        <w:t>. This Section 9.03 shall replace all of Section 12.03 of the Base Indenture, following the sentence “…upon the satisfaction of the applicable conditions set forth below”:</w:t>
      </w:r>
    </w:p>
    <w:p>
      <w:pPr>
        <w:spacing w:after="0" w:line="52" w:lineRule="exact"/>
        <w:rPr>
          <w:sz w:val="20"/>
          <w:szCs w:val="20"/>
          <w:color w:val="auto"/>
        </w:rPr>
      </w:pPr>
    </w:p>
    <w:p>
      <w:pPr>
        <w:ind w:left="980" w:right="140" w:firstLine="408"/>
        <w:spacing w:after="0" w:line="258" w:lineRule="auto"/>
        <w:tabs>
          <w:tab w:leader="none" w:pos="16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irrevocably deposit with the Trustee, in trust, for the benefit of the Holders, cash in Dollars, certain direct non-callable obligations of, or guaranteed by, the United States, or a combination thereof, in such amounts as shall be sufficient without reinvestment, in the opinion of a nationally recognized firm of independent public accountants, to pay the principal of, premium, if any, and interest (including Additional Amounts) on the Notes on the stated date for payment thereof or on the applicable redemption date, as the case may be;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165" w:name="page166"/>
    <w:bookmarkEnd w:id="165"/>
    <w:p>
      <w:pPr>
        <w:ind w:left="1640" w:hanging="252"/>
        <w:spacing w:after="0"/>
        <w:tabs>
          <w:tab w:leader="none" w:pos="1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Legal Defeasance, the Company must deliver to the Trustee an Opinion of Counsel to the effect that:</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has received from, or there has been published by, the Internal Revenue Service a ruling; or</w:t>
      </w:r>
    </w:p>
    <w:p>
      <w:pPr>
        <w:spacing w:after="0" w:line="225"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(b)  since the Issue Date, there has been a change in the applicable U.S. federal income tax law, in either case to the effect that, and based thereon such Opinion of Counsel shall state that, the beneficial owners of the Notes shall not recognize income, gain or loss for U.S. federal income tax purposes as a result of such Legal Defeasance and shall be subject to U.S. federal income tax on the same amounts, in the same manner and at the same times as would have been the case if such Legal Defeasance had not occurred;</w:t>
      </w:r>
    </w:p>
    <w:p>
      <w:pPr>
        <w:spacing w:after="0" w:line="72" w:lineRule="exact"/>
        <w:rPr>
          <w:sz w:val="20"/>
          <w:szCs w:val="20"/>
          <w:color w:val="auto"/>
        </w:rPr>
      </w:pPr>
    </w:p>
    <w:p>
      <w:pPr>
        <w:ind w:left="980" w:firstLine="408"/>
        <w:spacing w:after="0" w:line="261" w:lineRule="auto"/>
        <w:tabs>
          <w:tab w:leader="none" w:pos="1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Company must deliver to the Trustee an Opinion of Counsel reasonably acceptable to the Trustee to the effect that the beneficial owners of the Notes shall not recognize income, gain or loss for U.S. federal income tax purposes as a result of such Covenant Defeasance and shall be subject to U.S. federal income tax on the same amounts, in the same manner and at the same times as would have been the case if such Covenant Defeasance had not occurred;</w:t>
      </w:r>
    </w:p>
    <w:p>
      <w:pPr>
        <w:spacing w:after="0" w:line="71" w:lineRule="exact"/>
        <w:rPr>
          <w:rFonts w:ascii="Times New Roman" w:cs="Times New Roman" w:eastAsia="Times New Roman" w:hAnsi="Times New Roman"/>
          <w:sz w:val="18"/>
          <w:szCs w:val="18"/>
          <w:color w:val="auto"/>
        </w:rPr>
      </w:pPr>
    </w:p>
    <w:p>
      <w:pPr>
        <w:ind w:left="980" w:right="400" w:firstLine="408"/>
        <w:spacing w:after="0" w:line="266" w:lineRule="auto"/>
        <w:tabs>
          <w:tab w:leader="none" w:pos="1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the deposit pursuant to clause (1) of this paragraph (except any Default or Event of Default resulting from the failure to comply with Section 4.01 of this First Supplemental Indenture as a result of any Liens securing any borrowings of funds required to effect such deposit);</w:t>
      </w:r>
    </w:p>
    <w:p>
      <w:pPr>
        <w:spacing w:after="0" w:line="67"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received an Officer’s Certificate stating that such Legal Defeasance or Covenant Defeasance shall not result in a breach or violation of, or constitute a default under, the Indenture or any other material agreement or instrument to which the Company or any of its Subsidiaries is a party or by which the Company or any of its Subsidiaries is bound;</w:t>
      </w:r>
    </w:p>
    <w:p>
      <w:pPr>
        <w:spacing w:after="0" w:line="67"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stating that the deposit was not made by the Company with the intent of preferring the Holders over any other creditors of the Company or any Subsidiary of the Company or with the intent of defeating, hindering, delaying or defrauding any other creditors of the Company or others; and</w:t>
      </w:r>
    </w:p>
    <w:p>
      <w:pPr>
        <w:spacing w:after="0" w:line="67"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provided for or relating to the Legal Defeasance or the Covenant Defeasance have been complied with.”</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Ratification of Base Indenture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Indenture, as supplemented by this First Supplemental Indenture, is in all respects ratified and confirmed, and this First Supplemental Indenture shall be deemed part of the Base Indenture in the manner and to the extent herein and therein provided; provided that the provisions of this First Supplemental Indenture apply solely with respect to the Notes. The rights, privileges, immunities, benefits, protections and indemnities provided to the Trustee under the Base Indenture shall apply to any action or inaction of the Trustee (acting in any capacity hereunder) in connection herewith, including in connection with the execution and delivery of this First Supplemental Indenture.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166" w:name="page167"/>
    <w:bookmarkEnd w:id="1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10.02 </w:t>
      </w:r>
      <w:r>
        <w:rPr>
          <w:rFonts w:ascii="Times New Roman" w:cs="Times New Roman" w:eastAsia="Times New Roman" w:hAnsi="Times New Roman"/>
          <w:sz w:val="18"/>
          <w:szCs w:val="18"/>
          <w:i w:val="1"/>
          <w:iCs w:val="1"/>
          <w:color w:val="auto"/>
        </w:rPr>
        <w:t>Trust Indenture Act Controls.</w:t>
      </w:r>
    </w:p>
    <w:p>
      <w:pPr>
        <w:spacing w:after="0" w:line="119" w:lineRule="exact"/>
        <w:rPr>
          <w:sz w:val="20"/>
          <w:szCs w:val="20"/>
          <w:color w:val="auto"/>
        </w:rPr>
      </w:pPr>
    </w:p>
    <w:p>
      <w:pPr>
        <w:jc w:val="both"/>
        <w:ind w:right="420" w:firstLine="991"/>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this First Supplemental Indenture limits, qualifies or conflicts with the duties imposed by, or another provision included in this First Supplemental Indenture which is required to be included in this First Supplemental Indenture by any of the provisions of Sections 310 to 318, inclusive, of the Trust Indenture Act, such imposed duties or incorporated provision shall control.</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Effects of Headings and Table of Contents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Successors and Assigns.</w:t>
      </w:r>
    </w:p>
    <w:p>
      <w:pPr>
        <w:spacing w:after="0" w:line="119"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All covenants and agreements in this First Supplemental Indenture by the parties hereto shall bind their respective successors and assigns and inure to the benefit of their permitted successors and assigns, whether so expressed or not.</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Separability Clause.</w:t>
      </w:r>
    </w:p>
    <w:p>
      <w:pPr>
        <w:spacing w:after="0" w:line="119"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First Supplemental Indenture or in the Notes shall be invalid, illegal or unenforceable, the validity, legality and enforceability of the remaining provisions shall not in any way be affected or impaired thereby.</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Benefits of Indenture.</w:t>
      </w:r>
    </w:p>
    <w:p>
      <w:pPr>
        <w:spacing w:after="0" w:line="11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Nothing in this First Supplemental Indenture expressed and nothing that may be implied from any of the provisions hereof is intended, or shall be construed, to confer upon, or to give to, any Person or corporation other than the parties hereto and their successors and the Holders of the Notes any benefit or any right, remedy or claim under or by reason of this First Supplemental Indenture or any covenant, condition, stipulation, promise or agreement hereof, and all covenants, conditions, stipulations, promises and agreements in this First Supplemental Indenture contained shall be for the sole and exclusive benefit of the parties hereto and their successors and of the Holders of the Notes.</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i w:val="1"/>
          <w:iCs w:val="1"/>
          <w:color w:val="auto"/>
        </w:rPr>
        <w:t>Counterparts Originals.</w:t>
      </w:r>
    </w:p>
    <w:p>
      <w:pPr>
        <w:spacing w:after="0" w:line="119"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This First Supplemental Indenture may be executed in any number of counterparts, each of which so executed shall be deemed to be an original, but all such counterparts shall together constitute but one and the same instrument.</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i w:val="1"/>
          <w:iCs w:val="1"/>
          <w:color w:val="auto"/>
        </w:rPr>
        <w:t>Submission to Jurisdiction’ Consent to Service.</w:t>
      </w:r>
    </w:p>
    <w:p>
      <w:pPr>
        <w:spacing w:after="0" w:line="11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(a)  Each of the parties hereto irrevocably and unconditionally submit to the exclusive jurisdiction of any U.S. federal or New York State court located in the Borough of Manhattan, The City of New York over any suit, action or proceeding arising out of or relating to the First Supplemental Indenture, the Notes or the Note Guarantee. Each of the parties hereto irrevocably and unconditionally waive, to the fullest extent permitted by applicable law, any objection to the laying of venue of any such suit, action or proceeding brought in any such court and any claim that any such suit, action or proceeding has been brought in an inconvenient forum. A final judgment in any such suit, action or proceeding brought in any such court shall be conclusive and binding upon each of the parties hereto and may be enforced in any other courts to whose jurisdiction the Company is or may be subject, by suit upon judgment. Each of the parties hereto further agree that nothing herein shall affect any Holder’s right to effect service of process in any other manner permitted by law or bring a suit action or proceeding (including a proceeding for enforcement of a judgment) in any other court or jurisdiction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8" w:right="459" w:bottom="1440" w:gutter="0" w:footer="0" w:header="0"/>
        </w:sectPr>
      </w:pPr>
    </w:p>
    <w:bookmarkStart w:id="167" w:name="page168"/>
    <w:bookmarkEnd w:id="167"/>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Company has appointed Cemex NY Corporation, 590 Madison Avenue, 27th Floor, New York, New York 10022, as its authorized agent (the “</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upon which process may be served in any legal suit, action or proceeding arising out of or relating to the First Supplemental Indenture, the Notes or the Note Guarantee which may be instituted in any U.S. federal or New York state court in the Borough of Manhattan, The City of New York, New York, and agree that service of process upon such agent, and written notice, or notice in any other manner permitted by applicable law, of said service to the Company by the Person serving the same, shall be deemed in every respect effective service of process upon the Company in any such suit, action or proceeding and further designates its domicile, the domicile of the Authorized Agent specified above and any domicile the Authorized Agent may have in the future as its domicile to receive any notice hereunder (including service of process). If for any reason the Authorized Agent (or any successor agent for this purpose) shall cease to act as agent for service of process as provided above, the Company shall promptly appoint a successor agent for this purpose reasonably acceptable to the Trustee. The Company agrees to take any and all actions as may be necessary to maintain such designation and appointment of such agent in full force and effect.</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i w:val="1"/>
          <w:iCs w:val="1"/>
          <w:color w:val="auto"/>
        </w:rPr>
        <w:t>Governing Law; Waiver of Jury Trial</w:t>
      </w:r>
    </w:p>
    <w:p>
      <w:pPr>
        <w:spacing w:after="0" w:line="11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  The First Supplemental Indenture, the Notes and the Note Guarantee shall be deemed to be contracts made under the law of the State of New York, and for all purposes shall be governed by and construed in accordance with the law of said State.</w:t>
      </w:r>
    </w:p>
    <w:p>
      <w:pPr>
        <w:spacing w:after="0" w:line="162" w:lineRule="exact"/>
        <w:rPr>
          <w:sz w:val="20"/>
          <w:szCs w:val="20"/>
          <w:color w:val="auto"/>
        </w:rPr>
      </w:pPr>
    </w:p>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t>(b)  EACH PARTY HERETO, AND EACH HOLDER OF A NOTE BY ACCEPTANCE THEREOF, HEREBY WAIVES, TO THE FULLEST EXTENT PERMITTED BY APPLICABLE LAW, ANY RIGHT IT MAY HAVE TO A TRIAL BY JURY IN RESPECT OF ANY LITIGATION DIRECTLY OR INDIRECTLY ARISING OUT OF, UNDER OR IN CONNECTION WITH THIS FIRST SUPPLEMENTAL INDENTURE.</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i w:val="1"/>
          <w:iCs w:val="1"/>
          <w:color w:val="auto"/>
        </w:rPr>
        <w:t>Currency Indemnity.</w:t>
      </w:r>
    </w:p>
    <w:p>
      <w:pPr>
        <w:spacing w:after="0" w:line="11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  The Company and the Guarantor shall pay all sums payable under the Notes solely in U.S. dollars. Any amount that a Holder receives or recovers in a currency other than U.S. dollars in respect of any sum expressed to be due to such Holder from the Company or the Guarantor shall only constitute a discharge to the Company or the Guarantor, as applicable, to the extent of the U.S. dollar amount which such Holder is able to purchase with the amount received or recovered in that other currency on the date of the receipt or recovery or, if it is not practicable to make the purchase on that date, on the first date on which such Holder is able to do so. If the U.S. dollar amount is less than the U.S. dollar amount expressed to be due to such Holder under any Note, the Company and the Guarantor shall indemnify such Holder, to the greatest extent permitted by law, against any loss such Holder sustains as a result. In any event, the Company and the Guarantor shall indemnify such Holder, to the greatest extent permitted by law, against the cost of making any purchase of U.S. dollars. For the purposes of this Section 10.10, it shall be sufficient for such Holder to certify in a satisfactory manner that such Holder would have suffered a loss had an actual purchase of U.S. dollars been made with the amount received in that other currency on the date of receipt or recovery or, if it was not practicable to make the purchase on that date, on the first date on which such Holder was able to do so. In addition, such Holder shall also be required to certify in a satisfactory manner the need for a change of the purchase date.</w:t>
      </w:r>
    </w:p>
    <w:p>
      <w:pPr>
        <w:spacing w:after="0" w:line="19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(b)  The indemnities described in this Section 10.10 (i) constitute a separate and independent obligation from the other obligations of the Company and the Guarantor; (ii) shall give rise to a separate and independent cause of action; (iii) shall apply irrespective of any indulgence granted by any Holder; and (iv) shall continue in full force and effect despite any other judgment, order, claim or proof for a liquidated amount in respect of any sum due under any Note.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168" w:name="page169"/>
    <w:bookmarkEnd w:id="1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10.11 </w:t>
      </w:r>
      <w:r>
        <w:rPr>
          <w:rFonts w:ascii="Times New Roman" w:cs="Times New Roman" w:eastAsia="Times New Roman" w:hAnsi="Times New Roman"/>
          <w:sz w:val="18"/>
          <w:szCs w:val="18"/>
          <w:i w:val="1"/>
          <w:iCs w:val="1"/>
          <w:color w:val="auto"/>
        </w:rPr>
        <w:t>Certain Matters.</w:t>
      </w:r>
    </w:p>
    <w:p>
      <w:pPr>
        <w:spacing w:after="0" w:line="119"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not be responsible in any manner whatsoever for or in respect of the validity or sufficiency of this First Supplemental Indenture, the Base Indenture, the Notes, the Note Guarantee or for or in respect of the recitals contained herein, all of which are made solely by the Company and the Guarantor.</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i w:val="1"/>
          <w:iCs w:val="1"/>
          <w:color w:val="auto"/>
        </w:rPr>
        <w:t>Electronic Signatures.</w:t>
      </w:r>
    </w:p>
    <w:p>
      <w:pPr>
        <w:spacing w:after="0" w:line="11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This First Supplemental Indenture and any certificate, agreement or other document to be signed in connection with this First Supplemental Indenture and the transactions contemplated hereby shall be valid, binding and enforceable against a party only when executed and delivered by an authorized individual on behalf of the party by means of (i) an original manual signature, (ii) a faxed, scanned or photocopied manual signature or (iii) in the case of this First Supplemental Indenture and any certificate, agreement or other document to be signed in connection with this First Supplemental Indenture and the transactions contemplated hereby, other than any Security or Global Security, any electronic signature permitted by Signature Law.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 Notwithstanding anything herein to the contrary, the Trustee is under no obligation to agree to accept electronic signatures in any form or in any format unless expressly agreed to by the Trustee pursuant to reasonable procedures approved by the Trustee.</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i w:val="1"/>
          <w:iCs w:val="1"/>
          <w:color w:val="auto"/>
        </w:rPr>
        <w:t>Electronic Means.</w:t>
      </w:r>
    </w:p>
    <w:p>
      <w:pPr>
        <w:spacing w:after="0" w:line="119"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Instructions given pursuant to this First Supplemental Indenture and any related financing documents and delivered using Electronic Means; provided, however, that the Company and/or the Guarantor, as applicable, shall provide to the Trustee an incumbency certificate listing Authorized Officers and containing specimen signatures of such Authorized Officers, which incumbency certificate shall be amended by the Company and/or the Guarantor, as applicable, whenever a person is to be added or deleted from the listing. If the Company and/or the Guarantor, as applicable, elects to give the Trustee Instructions using Electronic Means and the Trustee in its discretion elects to act upon such Instructions, the Trustee’s understanding of such Instructions shall be deemed controlling. The Company and the Guarantor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and the Guarantor shall be responsible for ensuring that only Authorized Officers transmit such Instructions to the Trustee and that the Company, the Guarantor and all Authorized Officers are solely responsible to safeguard the use and confidentiality of applicable user and authorization codes, passwords and/or authentication keys upon receipt by the Company and/or the Guarantor,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and the Guarantor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and/or the Guarantor,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8"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First Supplemental Indenture to be duly executed as of the date first written above.</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CEMEX, S.A.B.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Fernando José Reiter Landa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Fernando José Reiter Landa</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Cemex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Fernando José Reiter Landa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Fernando José Reiter Landa</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13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[Signature Page to First Supplemental Indenture]</w:t>
      </w:r>
    </w:p>
    <w:p>
      <w:pPr>
        <w:sectPr>
          <w:pgSz w:w="11900" w:h="16838" w:orient="portrait"/>
          <w:cols w:equalWidth="0" w:num="1">
            <w:col w:w="9980"/>
          </w:cols>
          <w:pgMar w:left="1420" w:top="270" w:right="499" w:bottom="1440" w:gutter="0" w:footer="0" w:header="0"/>
        </w:sectPr>
      </w:pPr>
    </w:p>
    <w:bookmarkStart w:id="170" w:name="page171"/>
    <w:bookmarkEnd w:id="17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Melissa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Melissa Matthews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[Signature Page to First Supplemental Indenture]</w:t>
      </w:r>
    </w:p>
    <w:p>
      <w:pPr>
        <w:sectPr>
          <w:pgSz w:w="11900" w:h="16838" w:orient="portrait"/>
          <w:cols w:equalWidth="0" w:num="1">
            <w:col w:w="9019"/>
          </w:cols>
          <w:pgMar w:left="1440" w:top="266" w:right="1440" w:bottom="1440" w:gutter="0" w:footer="0" w:header="0"/>
        </w:sectPr>
      </w:pPr>
    </w:p>
    <w:bookmarkStart w:id="171" w:name="page172"/>
    <w:bookmarkEnd w:id="17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FACE OF SECURITY]</w:t>
      </w:r>
    </w:p>
    <w:p>
      <w:pPr>
        <w:spacing w:after="0" w:line="221"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INCLUDE IF NOTE IS A GLOBAL NOTE – </w:t>
      </w:r>
      <w:r>
        <w:rPr>
          <w:rFonts w:ascii="Times New Roman" w:cs="Times New Roman" w:eastAsia="Times New Roman" w:hAnsi="Times New Roman"/>
          <w:sz w:val="18"/>
          <w:szCs w:val="18"/>
          <w:color w:val="auto"/>
        </w:rPr>
        <w:t>THIS SECURITY IS A GLOBAL NOTE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HEREINAFTER REFERRED TO, AS SUPPLEMENTED BY THE FIRST SUPPLEMENTAL INDENTURE HEREINAFTER REFERRED TO, AND IS REGISTERED IN THE NAME OF THE DEPOSITARY OR A NOMINEE OF THE DEPOSITARY, WHICH MAY BE TREATED BY CEMEX, S.A.B. DE C.V., THE TRUSTEE AND ANY AGENT THEREOF AS OWNER AND HOLDER OF THIS NOTE FOR ALL PURPOSES.</w:t>
      </w:r>
    </w:p>
    <w:p>
      <w:pPr>
        <w:spacing w:after="0" w:line="179" w:lineRule="exact"/>
        <w:rPr>
          <w:sz w:val="20"/>
          <w:szCs w:val="20"/>
          <w:color w:val="auto"/>
        </w:rPr>
      </w:pPr>
    </w:p>
    <w:p>
      <w:pPr>
        <w:ind w:right="20" w:firstLine="991"/>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INCLUDE IF NOTE IS A GLOBAL NOTE AND THE DEPOSITARY IS THE DEPOSITORY TRUST COMPANY– </w:t>
      </w:r>
      <w:r>
        <w:rPr>
          <w:rFonts w:ascii="Times New Roman" w:cs="Times New Roman" w:eastAsia="Times New Roman" w:hAnsi="Times New Roman"/>
          <w:sz w:val="17"/>
          <w:szCs w:val="17"/>
          <w:color w:val="auto"/>
        </w:rPr>
        <w:t>UNLESS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CERTIFICATE IS PRESENTED BY AN AUTHORIZED REPRESENTATIVE OF THE DEPOSITORY TRUST COMPANY, A NEW YORK CORPORATION (“DTC”), TO CEMEX, S.A.B. DE C.V. OR ITS AGENT FOR REGISTRATION OF TRANSFER, EXCHANGE OR PAYMENT, AND ANY CERTIFICATE ISSUED IN EXCHANGE FOR THIS CERTIFICATE OR ANY PORTION HEREOF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OTHER THAN DTC OR A NOMINEE THEREOF IS WRONGFUL INASMUCH AS THE REGISTERED OWNER HEREOF, CEDE &amp; CO., HAS AN INTEREST HEREIN.</w:t>
      </w:r>
    </w:p>
    <w:p>
      <w:pPr>
        <w:spacing w:after="0" w:line="176"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UNLESS AND UNTIL IT IS EXCHANGED IN WHOLE OR IN PART FOR CERTIFICATED NOTES IN DEFINITIVE REGISTERED FORM IN THE LIMITED CIRCUMSTANCES REFERRED TO IN THE INDENTURE, AS SUPPLEMENTED BY THE FIRST SUPPLEMENTAL INDENTURE, THIS GLOBAL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ectPr>
          <w:pgSz w:w="11900" w:h="16838" w:orient="portrait"/>
          <w:cols w:equalWidth="0" w:num="1">
            <w:col w:w="10980"/>
          </w:cols>
          <w:pgMar w:left="440" w:top="270" w:right="47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Number: 151290 CD3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US151290CD37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Cemex, S.A.B. de C.V.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5.750% Senior Notes due 2036</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As revised by the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Schedule of Increases</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or Decreases in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Global Security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attached hereto</w:t>
      </w:r>
    </w:p>
    <w:p>
      <w:pPr>
        <w:spacing w:after="0" w:line="200" w:lineRule="exact"/>
        <w:rPr>
          <w:sz w:val="20"/>
          <w:szCs w:val="20"/>
          <w:color w:val="auto"/>
        </w:rPr>
      </w:pPr>
    </w:p>
    <w:p>
      <w:pPr>
        <w:sectPr>
          <w:pgSz w:w="11900" w:h="16838" w:orient="portrait"/>
          <w:cols w:equalWidth="0" w:num="2">
            <w:col w:w="7440" w:space="720"/>
            <w:col w:w="2860"/>
          </w:cols>
          <w:pgMar w:left="440" w:top="270" w:right="439" w:bottom="1440" w:gutter="0" w:footer="0" w:header="0"/>
          <w:type w:val="continuous"/>
        </w:sectPr>
      </w:pPr>
    </w:p>
    <w:p>
      <w:pPr>
        <w:spacing w:after="0" w:line="18"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Cemex, S.A.B. de C.V., a</w:t>
      </w:r>
      <w:r>
        <w:rPr>
          <w:rFonts w:ascii="Times New Roman" w:cs="Times New Roman" w:eastAsia="Times New Roman" w:hAnsi="Times New Roman"/>
          <w:sz w:val="18"/>
          <w:szCs w:val="18"/>
          <w:i w:val="1"/>
          <w:iCs w:val="1"/>
          <w:color w:val="auto"/>
        </w:rPr>
        <w:t xml:space="preserve"> sociedad anónima bursátil de capital variable </w:t>
      </w:r>
      <w:r>
        <w:rPr>
          <w:rFonts w:ascii="Times New Roman" w:cs="Times New Roman" w:eastAsia="Times New Roman" w:hAnsi="Times New Roman"/>
          <w:sz w:val="18"/>
          <w:szCs w:val="18"/>
          <w:color w:val="auto"/>
        </w:rPr>
        <w:t>organized and existing under the laws of Mexico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which term includes any successor Person under the Indenture hereinafter referred to), for value received, hereby promises to pay Cede &amp; Co., or registered assigns, the principal sum of $        U.S. Dollars (U.S.$        ) as revised by the Schedule of Increases or Decreases in Global Note attached hereto on June 5, 2036 (unless earlier redeemed, in which case, on the applicable Redemption Date) and to pay interest thereon from June 5, 2026 or from the most recent Interest Payment Date to which interest has been paid or duly provided for semi-annually in arrears on June 5 and December 5 of each year, commencing on December 5, 2026, and at the Maturity thereof, at the rate of 5.750% per annum, until the principal hereof is paid or made available for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amount of interest on this Note which is overdue shall bear interest (to the extent that payment of such interest shall be legally enforceable) at the rate per annum then borne by this Note from the date such amount is due to the day it is paid or made available for payment, and such overdue interest shall be paid as provided in Section 3.08 of the Base Indenture. If any Interest Payment Date falls on a day that is not a Business Day, the Interest Payment Date shall be postponed to the next succeeding Business Day, and no interest on such payment shall accrue for the period from and after such Interest Payment Date. If the maturity date of the Notes falls on a date that is not a Business Day, the payment of interest and principal of the Notes may be made on the next succeeding Business Day, and no interest on such payment shall accrue for the period from and after the maturity date. Interest on the Notes shall be computed on the basis of a 360-day year of twelve 30-day months.</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Method of Payment. </w:t>
      </w:r>
      <w:r>
        <w:rPr>
          <w:rFonts w:ascii="Times New Roman" w:cs="Times New Roman" w:eastAsia="Times New Roman" w:hAnsi="Times New Roman"/>
          <w:sz w:val="18"/>
          <w:szCs w:val="18"/>
          <w:color w:val="auto"/>
        </w:rPr>
        <w:t>The interest so payable, and punctually paid or duly provided for, on any Interest Payment Date or at Maturity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provided in the Indenture, be paid to the Person in whose name this Note is registered at the close of business on May 21 and November 20 immediately preceding the Interest Payment Date (the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Any such interest not so punctually paid or duly provided for on any Interest Payment Date shall forthwith cease to be payable to the Holder on the relevant Regular Record Date and may either be paid to the Person in whose name this Note is registered at the close of business on a Special Record Date for the payment of such Defaulted Interest to be fixed by the Trustee, notice whereof shall be given to Holders of this Note not less than 10 days prior to such Special Record Date, or be paid at any time in any other lawful manner not inconsistent with the requirements of any securities exchange on which this Note may be listed, and upon such notice as may be required by such exchange, all as more fully provided in the Indenture.</w:t>
      </w:r>
    </w:p>
    <w:p>
      <w:pPr>
        <w:spacing w:after="0" w:line="187"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interest on this Note shall be made pursuant to the applicable procedures of the Depositary as permitted in the Indenture; provided, however, that if this Note is not a Global Note, payment may be made at the office or agency of the Company maintained for that purpose in New York, New York, in such coin or currency of the United States of America as at the time of payment is legal tender for payment of public and private debts, against surrender of this Note in the case of any payment due at the Maturity of the principal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 address shall appear in the Security Register.</w:t>
      </w:r>
    </w:p>
    <w:p>
      <w:pPr>
        <w:sectPr>
          <w:pgSz w:w="11900" w:h="16838" w:orient="portrait"/>
          <w:cols w:equalWidth="0" w:num="1">
            <w:col w:w="11020"/>
          </w:cols>
          <w:pgMar w:left="440" w:top="270" w:right="439" w:bottom="1440" w:gutter="0" w:footer="0" w:header="0"/>
          <w:type w:val="continuous"/>
        </w:sectPr>
      </w:pPr>
    </w:p>
    <w:bookmarkStart w:id="173" w:name="page174"/>
    <w:bookmarkEnd w:id="173"/>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 is hereby made to the further provisions of this Note set forth on the reverse hereof, which further provisions shall for all purposes have the same effect as if set forth at this place.</w:t>
      </w:r>
    </w:p>
    <w:p>
      <w:pPr>
        <w:spacing w:after="0" w:line="160"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Unless the certificate of authentication hereon has been executed by the Trustee referred to on the reverse hereof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manual or electronic signature, this Note shall not be entitled to any benefit under the Indenture or be valid or obligatory for any purpose.</w:t>
      </w:r>
    </w:p>
    <w:p>
      <w:pPr>
        <w:sectPr>
          <w:pgSz w:w="11900" w:h="16838" w:orient="portrait"/>
          <w:cols w:equalWidth="0" w:num="1">
            <w:col w:w="10460"/>
          </w:cols>
          <w:pgMar w:left="440" w:top="270"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provisions of this Note are set forth on the other side of this Note.</w:t>
      </w:r>
    </w:p>
    <w:p>
      <w:pPr>
        <w:spacing w:after="0" w:line="37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CEMEX, S.A.B. DE C.V.</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referred 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Supplemental Indenture.</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Date:</w:t>
            </w:r>
          </w:p>
        </w:tc>
      </w:tr>
      <w:tr>
        <w:trPr>
          <w:trHeight w:val="22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Authorized Signatory</w:t>
            </w: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-156845</wp:posOffset>
            </wp:positionV>
            <wp:extent cx="30689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OF SECURITY]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terms used in this Note which are defined in the Indenture shall have the meanings assigned to them in the Indenture.</w:t>
      </w:r>
    </w:p>
    <w:p>
      <w:pPr>
        <w:spacing w:after="0" w:line="22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Note is one of a duly authorized issue of securities of the Company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an indenture, dated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5, 2026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The Bank of New York Mellon,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Base Indenture), as supplemented by the First Supplemental Indenture, dated as of June 5, 2026 (the “</w:t>
      </w:r>
      <w:r>
        <w:rPr>
          <w:rFonts w:ascii="Times New Roman" w:cs="Times New Roman" w:eastAsia="Times New Roman" w:hAnsi="Times New Roman"/>
          <w:sz w:val="18"/>
          <w:szCs w:val="18"/>
          <w:u w:val="single" w:color="auto"/>
          <w:color w:val="auto"/>
        </w:rPr>
        <w:t>First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Company, Cemex Corp.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and the Trustee, and reference is hereby made to the Indenture for a statement of the respective rights, limitations of rights, duties and immunities thereunder of the Company, the Guarantor, the Trustee and the Holders of the Notes and of the terms upon which the Notes are, and are to be, authenticated and delivered. The terms, conditions and provisions of this Note are those stated in the Indenture (including those made a part of the Indenture by reference to the Trust Indenture Act) and those set forth in this Note. This Note is one of the series designated on the face hereof. In any case where any Interest Payment Date, Redemption Date or Stated Maturity of any Note shall not be a Business Day, then (notwithstanding any other provision of the Indenture or of the Notes) payment of principal and premium, if any, or interest need not be made on such date, but may be made on the next succeeding Business Day with the same force and effect as if made on the Interest Payment Date, Redemption Date or at the Stated Maturity,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interest shall accrue for the period from and after such Interest Payment Date, Redemption Date or Stated Maturity, as the case may be on account of such delay.</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At the Company’s option, the Company may issue additional Notes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 issued in one or more transactions, which have identical terms (other than the issue date, issue price, the first payment of interest on them and, to the extent necessary, certain temporary securities transfer restrictions) so that the Additional Notes may be consolidated and form a single class with the Notes issued on the Issue Date; provided that any Additional Notes will be issued under a separate CUSIP or ISIN number unless the Additional Notes are issued pursuant to a “qualified reopening” of the original series, are otherwise treated as part of the same “issue” of debt instruments as the original series or are issued with less than a de minimis amount of original discount, in each case for U.S. federal income tax purposes. Holders of Additional Notes would have the right to vote together with Holders of the Notes issued on the Issue Date as one class on all matters with respect to the Notes issued on the Issue Date. The amount evidenced by such additional securities shall increase the aggregate principal amount of, and shall be consolidated and form a single series with, the Notes, in which case the Schedule of Increases or Decreases in Global Note attached hereto shall be correspondingly adjusted.</w:t>
      </w:r>
    </w:p>
    <w:p>
      <w:pPr>
        <w:spacing w:after="0" w:line="188"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 Payment of Additional Amounts. </w:t>
      </w:r>
      <w:r>
        <w:rPr>
          <w:rFonts w:ascii="Times New Roman" w:cs="Times New Roman" w:eastAsia="Times New Roman" w:hAnsi="Times New Roman"/>
          <w:sz w:val="18"/>
          <w:szCs w:val="18"/>
          <w:color w:val="auto"/>
        </w:rPr>
        <w:t>All payments made by the Company or the Guarantor (or any successor to any of them)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will be made free and clear of and without withholding or deduction for or on account of any Taxes imposed or levied by or on behalf of any Taxing Jurisdiction, unless such withholding or deduction is required by law or by the interpretation or administration thereof. In that event, the Company will pay to each Holder of the Notes Additional Amounts as provided in the Indenture subject to the limitations set forth in the Indenture.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Except as stated below, the Company may not redeem the Notes.</w:t>
      </w:r>
    </w:p>
    <w:p>
      <w:pPr>
        <w:spacing w:after="0" w:line="225"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Make-Whole Redemption and Redemption at Par</w:t>
      </w:r>
      <w:r>
        <w:rPr>
          <w:rFonts w:ascii="Times New Roman" w:cs="Times New Roman" w:eastAsia="Times New Roman" w:hAnsi="Times New Roman"/>
          <w:sz w:val="18"/>
          <w:szCs w:val="18"/>
          <w:color w:val="auto"/>
        </w:rPr>
        <w:t>. Prior to the Par Call Date, the Company shall have the right, at its option, to redeem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Notes, in whole or in part, at any time or from time to time prior to their Maturity at a redemption price equal to the greater of:</w:t>
      </w:r>
    </w:p>
    <w:p>
      <w:pPr>
        <w:spacing w:after="0" w:line="52" w:lineRule="exact"/>
        <w:rPr>
          <w:sz w:val="20"/>
          <w:szCs w:val="20"/>
          <w:color w:val="auto"/>
        </w:rPr>
      </w:pPr>
    </w:p>
    <w:p>
      <w:pPr>
        <w:ind w:left="1640" w:hanging="252"/>
        <w:spacing w:after="0"/>
        <w:tabs>
          <w:tab w:leader="none" w:pos="1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Notes,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 of the remaining scheduled payments of principal and interest thereon discounted to the</w:t>
      </w:r>
    </w:p>
    <w:p>
      <w:pPr>
        <w:spacing w:after="0" w:line="27" w:lineRule="exact"/>
        <w:rPr>
          <w:rFonts w:ascii="Times New Roman" w:cs="Times New Roman" w:eastAsia="Times New Roman" w:hAnsi="Times New Roman"/>
          <w:sz w:val="18"/>
          <w:szCs w:val="18"/>
          <w:color w:val="auto"/>
        </w:rPr>
      </w:pPr>
    </w:p>
    <w:p>
      <w:pPr>
        <w:ind w:left="98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redemption date (assuming the Notes matured on the Par Call Date) on a semi-annual basis (assuming a 360-day year consisting of twelve 30-day months) at the Treasury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25 basis points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interest accrued to the date of redemption (the “</w:t>
      </w: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any accrued and unpaid interest on the principal amount of the Notes, if any, to, but not including,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w:t>
      </w:r>
    </w:p>
    <w:p>
      <w:pPr>
        <w:sectPr>
          <w:pgSz w:w="11900" w:h="16838" w:orient="portrait"/>
          <w:cols w:equalWidth="0" w:num="1">
            <w:col w:w="10980"/>
          </w:cols>
          <w:pgMar w:left="440" w:top="270" w:right="479" w:bottom="1440" w:gutter="0" w:footer="0" w:header="0"/>
        </w:sectPr>
      </w:pPr>
    </w:p>
    <w:bookmarkStart w:id="176" w:name="page177"/>
    <w:bookmarkEnd w:id="176"/>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and after the Par Call Date, the Company shall have the right, at its option, to redeem any of the Notes, in whole or in part, at any time or from time to time prior to their Maturity at a redemption price equal to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on the principal amount of the Notes, if any, to, but not including, the date of redemption.</w:t>
      </w:r>
    </w:p>
    <w:p>
      <w:pPr>
        <w:spacing w:after="0" w:line="17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i w:val="1"/>
          <w:iCs w:val="1"/>
          <w:color w:val="auto"/>
        </w:rPr>
        <w:t>Optional Redemption for Changes in Withholding Taxes</w:t>
      </w:r>
      <w:r>
        <w:rPr>
          <w:rFonts w:ascii="Times New Roman" w:cs="Times New Roman" w:eastAsia="Times New Roman" w:hAnsi="Times New Roman"/>
          <w:sz w:val="18"/>
          <w:szCs w:val="18"/>
          <w:color w:val="auto"/>
        </w:rPr>
        <w:t>. If, as a result of any amendment to, or change in, the laws (or any rules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thereunder) of a Relevant Taxing Jurisdiction affecting taxation, or any amendment to or change in an official interpretation or application of such laws, rules or regulations that has a general effect, which amendment to or change of such laws, rules or regulations, or official interpretation or application, is publicly announced and becomes effective on or after the later of the Issue Date or the date the relevant jurisdiction became a Relevant Taxing Jurisdiction, the Company and the Guarantor, as applicable, would be obligated, after taking all reasonable measures to avoid this requirement, to pay Additional Amounts in excess of the Additional Amounts attributable to a withholding tax rate of 4.9% with respect to taxes imposed by the government of Mexico or, if different, the rate of withholding imposed by the relevant jurisdiction when it became a Relevant Taxing Jurisdiction with respect to the Notes, then, at the Company’s option, all, but not less than all, of the Notes may be redeemed at any time on giving not less than 10 nor more than 60 days’ notice, at a redemption price equal to 100% of the outstanding principal amount, plus any accrued and unpaid interest on the principal amount of the Notes to be redeemed to the date of redemption; provided, however, that (1) no notice of redemption for tax reasons may be given earlier than 90 days prior to the earliest date on which the Company would be obligated to pay Additional Amounts if a payment on the Notes were then due, and (2) at the time such notice of redemption is given such obligation to pay such Additional Amounts remains in effect.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notice, once delivered by us to the Trustee, shall be irrevocable.</w:t>
      </w:r>
    </w:p>
    <w:p>
      <w:pPr>
        <w:spacing w:after="0" w:line="22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Amendment; Waiver</w:t>
      </w:r>
      <w:r>
        <w:rPr>
          <w:rFonts w:ascii="Times New Roman" w:cs="Times New Roman" w:eastAsia="Times New Roman" w:hAnsi="Times New Roman"/>
          <w:sz w:val="18"/>
          <w:szCs w:val="18"/>
          <w:color w:val="auto"/>
        </w:rPr>
        <w:t>. The Indenture permits, with certain exceptions as therein provided, the amendment thereof and the modification of the rights and obligations of the Company and the rights of the Holders of the Notes at any time by the Company and the Trustee with the consent of the Holders of a majority in principal amount of the Notes at the time Outstanding. The Indenture also contains provisions (i) permitting the Holders of a majority in principal amount of the Notes at the time Outstanding, on behalf of the Holders of all Notes, to waive compliance by the Company with certain provisions of the Indenture and (ii) permitting the Holders of a majority in principal amount of the Notes at the time Outstanding, on behalf of the Holders of all Notes, to waive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8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25% in principal amount of the Notes at the time Outstanding shall have made written request to the Trustee to institute proceedings in respect of such Event of Default as Trustee and offered the Trustee indemnity reasonably satisfactory to it, and the Trustee shall not have received from the Holders of a majority in principal amount of Notes at the time Outstanding a direction inconsistent with such request, and shall have failed to institute any such proceeding, for 60 days after receipt of such notice, request and offer of indemnity. The foregoing shall not apply to any suit instituted by the Holder of this Note for the enforcement of any payment of principal hereof or premium, if any, or interest hereon on or after the respective due dates expressed herein.</w:t>
      </w:r>
    </w:p>
    <w:p>
      <w:pPr>
        <w:spacing w:after="0" w:line="188"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Transfer; Exchange; Decreases and Increases</w:t>
      </w:r>
      <w:r>
        <w:rPr>
          <w:rFonts w:ascii="Times New Roman" w:cs="Times New Roman" w:eastAsia="Times New Roman" w:hAnsi="Times New Roman"/>
          <w:sz w:val="18"/>
          <w:szCs w:val="18"/>
          <w:color w:val="auto"/>
        </w:rPr>
        <w:t>. As provided in the Indenture and subject to certain limitations therein set forth (including, without limitation, the restrictions on transfer under Sections 3.06 of the Base Indenture), the transfer of this Note is registrable by the Trustee, upon surrender of this Note for registration of transfer at the office of any transfer agent, duly endorsed by, or accompanied by a written instrument of transfer in form satisfactory to the Company and the transfer agent duly executed by, the Holder hereof or his attorney duly authorized in writing, and thereupon one or more new Notes of this series and of like tenor, of authorized denominations and for the same aggregate principal amount, shall be issued to the designated transferee or transferees. No service charge shall be made for any such registration of transfer or exchange of this Note, but the Company or the Trustee may require payment of a sum sufficient to cover any tax or other governmental charge payable in connection with any registration of transfer or exchange of this Note, other than exchanges pursuant to Section 3.06 or Section 4.06 of the Base Indenture not involving any transfer. This Note is a Global Security and is subject to the provisions of the Indenture relating to Global Securities, including the limitations in Sections 2.02 and 3.03 of the Base Indenture on transfers and exchanges of Global Securities. In the event of redemption of this Note in part only the Schedule of Increases or Decreases in Global Note attached hereto shall be correspondingly adjusted.</w:t>
      </w:r>
    </w:p>
    <w:p>
      <w:pPr>
        <w:sectPr>
          <w:pgSz w:w="11900" w:h="16838" w:orient="portrait"/>
          <w:cols w:equalWidth="0" w:num="1">
            <w:col w:w="11000"/>
          </w:cols>
          <w:pgMar w:left="440" w:top="270" w:right="459" w:bottom="1440" w:gutter="0" w:footer="0" w:header="0"/>
        </w:sectPr>
      </w:pPr>
    </w:p>
    <w:bookmarkStart w:id="177" w:name="page178"/>
    <w:bookmarkEnd w:id="177"/>
    <w:p>
      <w:pPr>
        <w:ind w:right="34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7.  </w:t>
      </w:r>
      <w:r>
        <w:rPr>
          <w:rFonts w:ascii="Times New Roman" w:cs="Times New Roman" w:eastAsia="Times New Roman" w:hAnsi="Times New Roman"/>
          <w:sz w:val="18"/>
          <w:szCs w:val="18"/>
          <w:i w:val="1"/>
          <w:iCs w:val="1"/>
          <w:color w:val="auto"/>
        </w:rPr>
        <w:t>Denominations.</w:t>
      </w:r>
      <w:r>
        <w:rPr>
          <w:rFonts w:ascii="Times New Roman" w:cs="Times New Roman" w:eastAsia="Times New Roman" w:hAnsi="Times New Roman"/>
          <w:sz w:val="18"/>
          <w:szCs w:val="18"/>
          <w:color w:val="auto"/>
        </w:rPr>
        <w:t xml:space="preserve"> The Notes are issuable only in registered form without coupons in denominations of U.S.$2,000 and integral multiples of U.S.$1,000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73"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xml:space="preserve"> Prior to due presentment of this Note for registration of transfer, the Company, the Trustee and any other agent of the Company or of the Trustee may treat the Person in whose name this Note is registered as the owner hereof for all purposes (subject to Section 8.03 of the Base Indenture), whether or not this Note is overdue, and neither the Company, the Trustee, any Agent nor any such other agent shall be affected by notice to the contrary.</w:t>
      </w:r>
    </w:p>
    <w:p>
      <w:pPr>
        <w:spacing w:after="0" w:line="180"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i w:val="1"/>
          <w:iCs w:val="1"/>
          <w:color w:val="auto"/>
        </w:rPr>
        <w:t>Absolute Obligation.</w:t>
      </w:r>
      <w:r>
        <w:rPr>
          <w:rFonts w:ascii="Times New Roman" w:cs="Times New Roman" w:eastAsia="Times New Roman" w:hAnsi="Times New Roman"/>
          <w:sz w:val="18"/>
          <w:szCs w:val="18"/>
          <w:color w:val="auto"/>
        </w:rPr>
        <w:t xml:space="preserve"> No reference herein to the Indenture and no provision of this Note or of the Indenture shall alter or impair the obligation of the Company, which is absolute and unconditional, to pay the principal of and premium, if any, and interest on this Note at the times, place and rate, and in the coin or currency, herein prescribed.</w:t>
      </w:r>
    </w:p>
    <w:p>
      <w:pPr>
        <w:spacing w:after="0" w:line="173" w:lineRule="exact"/>
        <w:rPr>
          <w:sz w:val="20"/>
          <w:szCs w:val="20"/>
          <w:color w:val="auto"/>
        </w:rPr>
      </w:pPr>
    </w:p>
    <w:p>
      <w:pPr>
        <w:ind w:right="5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xml:space="preserve"> The Guarantor has fully and unconditionally guaranteed the full and punctual payment of principal, premium, if any, interest and any other amounts that may become due and payable by the Company in respect of the Notes and the Indenture.</w:t>
      </w:r>
    </w:p>
    <w:p>
      <w:pPr>
        <w:spacing w:after="0" w:line="158"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xml:space="preserve"> If an Event of Default with respect to the Notes shall occur and be continuing, the principal of all of the Notes may be declared due and payable in the manner and with the effect provided in the Indenture.</w:t>
      </w:r>
    </w:p>
    <w:p>
      <w:pPr>
        <w:spacing w:after="0" w:line="158"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Note, the Note Guarantee and the Indenture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hall be deemed to be contracts made under the law of the State of New York, and for all purposes shall be governed by and construed in accordance with the law of said State.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Agent for Service; Submission to Jurisdiction; Waiver of Immunities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a.  The parties to the Indenture irrevocably and unconditionally submit to the exclusive jurisdiction of any U.S. federal or New York State court located in the Borough of Manhattan, The City of New York over any suit, action or proceeding arising out of or relating to the First Supplemental Indenture, the Notes or the Note Guarantee. The parties to the Indenture irrevocably and unconditionally waive, to the fullest extent permitted by applicable law, any objection to the laying of venue of any such suit, action or proceeding brought in any such court and any claim that any such suit, action or proceeding has been brought in an inconvenient forum. A final judgment in any such suit, action or proceeding brought in any such court shall be conclusive and binding upon the parties to the Indenture and may be enforced in any other courts to whose jurisdiction the parties to the Indenture is or may be subject, by suit upon judgment. The parties to the Indenture further agree that nothing herein shall affect any Holder’s right to effect service of process in any other manner permitted by law or bring a suit action or proceeding (including a proceeding for enforcement of a judgment) in any other court or jurisdiction in accordance with applicable law.</w:t>
      </w:r>
    </w:p>
    <w:p>
      <w:pPr>
        <w:sectPr>
          <w:pgSz w:w="11900" w:h="16838" w:orient="portrait"/>
          <w:cols w:equalWidth="0" w:num="1">
            <w:col w:w="11000"/>
          </w:cols>
          <w:pgMar w:left="440" w:top="268" w:right="459" w:bottom="1440" w:gutter="0" w:footer="0" w:header="0"/>
        </w:sectPr>
      </w:pPr>
    </w:p>
    <w:bookmarkStart w:id="178" w:name="page179"/>
    <w:bookmarkEnd w:id="178"/>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Company has appointed the Authorized Agent upon which process may be served in any legal suit, action or proceeding arising out of or relating to the First Supplemental Indenture, the Notes or the Note Guarantee which may be instituted in any U.S. federal or New York state court in the Borough of Manhattan, The City of New York, New York, and agree that service of process upon such agent, and written notice, or notice in any other manner permitted by applicable law, of said service to the Company by the Person serving the same, shall be deemed in every respect effective service of process upon the Company in any such suit, action or proceeding and further designates its domicile, the domicile of the Authorized Agent specified above and any domicile the Authorized Agent may have in the future as its domicile to receive any notice hereunder (including service of process). If for any reason the Authorized Agent (or any successor agent for this purpose) shall cease to act as agent for service of process as provided above, the Company shall promptly appoint a successor agent for this purpose reasonably acceptable to the Trustee. The Company agrees to take any and all actions as may be necessary to maintain such designation and appointment of such agent in full force and effect.</w:t>
      </w:r>
    </w:p>
    <w:p>
      <w:pPr>
        <w:sectPr>
          <w:pgSz w:w="11900" w:h="16838" w:orient="portrait"/>
          <w:cols w:equalWidth="0" w:num="1">
            <w:col w:w="11000"/>
          </w:cols>
          <w:pgMar w:left="440" w:top="270"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ABBREVIATIONS</w:t>
      </w:r>
    </w:p>
    <w:p>
      <w:pPr>
        <w:spacing w:after="0" w:line="11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TEN COM -</w:t>
            </w:r>
          </w:p>
        </w:tc>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tenants in common</w:t>
            </w:r>
          </w:p>
        </w:tc>
        <w:tc>
          <w:tcPr>
            <w:tcW w:w="2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1"/>
              </w:rPr>
              <w:t>UNIF GIFT MIN ACT— </w:t>
            </w:r>
          </w:p>
        </w:tc>
        <w:tc>
          <w:tcPr>
            <w:tcW w:w="360" w:type="dxa"/>
            <w:vAlign w:val="bottom"/>
            <w:gridSpan w:val="2"/>
          </w:tcPr>
          <w:p>
            <w:pPr>
              <w:jc w:val="center"/>
              <w:ind w:left="44"/>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1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4"/>
              </w:rPr>
              <w:t>(Cust)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w w:val="97"/>
              </w:rPr>
              <w:t> </w:t>
            </w:r>
          </w:p>
        </w:tc>
      </w:tr>
      <w:tr>
        <w:trPr>
          <w:trHeight w:val="194"/>
        </w:trPr>
        <w:tc>
          <w:tcPr>
            <w:tcW w:w="1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TEN ENT -</w:t>
            </w:r>
          </w:p>
        </w:tc>
        <w:tc>
          <w:tcPr>
            <w:tcW w:w="504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as tenants by the entireties</w:t>
            </w:r>
          </w:p>
        </w:tc>
        <w:tc>
          <w:tcPr>
            <w:tcW w:w="2180" w:type="dxa"/>
            <w:vAlign w:val="bottom"/>
            <w:gridSpan w:val="3"/>
          </w:tcPr>
          <w:p>
            <w:pPr>
              <w:ind w:left="280"/>
              <w:spacing w:after="0" w:line="194" w:lineRule="exact"/>
              <w:rPr>
                <w:sz w:val="20"/>
                <w:szCs w:val="20"/>
                <w:color w:val="auto"/>
              </w:rPr>
            </w:pPr>
            <w:r>
              <w:rPr>
                <w:rFonts w:ascii="Times New Roman" w:cs="Times New Roman" w:eastAsia="Times New Roman" w:hAnsi="Times New Roman"/>
                <w:sz w:val="18"/>
                <w:szCs w:val="18"/>
                <w:color w:val="auto"/>
              </w:rPr>
              <w:t xml:space="preserve">Custodian                 </w:t>
            </w:r>
          </w:p>
        </w:tc>
        <w:tc>
          <w:tcPr>
            <w:tcW w:w="11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under Uniform</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1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(Minor)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center"/>
              <w:ind w:right="29"/>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70"/>
              </w:rPr>
              <w:t>    </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1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JT TEN -</w:t>
            </w:r>
          </w:p>
        </w:tc>
        <w:tc>
          <w:tcPr>
            <w:tcW w:w="504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as joint tenants with right of survivorship and not as tenants in</w:t>
            </w:r>
          </w:p>
        </w:tc>
        <w:tc>
          <w:tcPr>
            <w:tcW w:w="2180" w:type="dxa"/>
            <w:vAlign w:val="bottom"/>
            <w:gridSpan w:val="3"/>
          </w:tcPr>
          <w:p>
            <w:pPr>
              <w:ind w:left="280"/>
              <w:spacing w:after="0" w:line="194" w:lineRule="exact"/>
              <w:rPr>
                <w:sz w:val="20"/>
                <w:szCs w:val="20"/>
                <w:color w:val="auto"/>
              </w:rPr>
            </w:pPr>
            <w:r>
              <w:rPr>
                <w:rFonts w:ascii="Times New Roman" w:cs="Times New Roman" w:eastAsia="Times New Roman" w:hAnsi="Times New Roman"/>
                <w:sz w:val="18"/>
                <w:szCs w:val="18"/>
                <w:color w:val="auto"/>
              </w:rPr>
              <w:t xml:space="preserve">Gifts to Minors Act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4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18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(State)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auto"/>
                <w:w w:val="75"/>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w w:val="97"/>
              </w:rPr>
              <w:t> </w:t>
            </w:r>
          </w:p>
        </w:tc>
      </w:tr>
    </w:tbl>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Additional abbreviations may also be used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though not in the above list.</w:t>
      </w:r>
    </w:p>
    <w:p>
      <w:pPr>
        <w:sectPr>
          <w:pgSz w:w="11900" w:h="16838" w:orient="portrait"/>
          <w:cols w:equalWidth="0" w:num="1">
            <w:col w:w="10960"/>
          </w:cols>
          <w:pgMar w:left="440" w:top="270" w:right="49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 IN GLOBAL NOTE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increases or decreases in this Global Note have been made:</w:t>
      </w:r>
    </w:p>
    <w:p>
      <w:pPr>
        <w:sectPr>
          <w:pgSz w:w="11900" w:h="16838" w:orient="portrait"/>
          <w:cols w:equalWidth="0" w:num="1">
            <w:col w:w="9019"/>
          </w:cols>
          <w:pgMar w:left="1440" w:top="266" w:right="1440" w:bottom="1440" w:gutter="0" w:footer="0" w:header="0"/>
        </w:sectPr>
      </w:pPr>
    </w:p>
    <w:p>
      <w:pPr>
        <w:spacing w:after="0" w:line="2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Date of</w:t>
      </w:r>
    </w:p>
    <w:p>
      <w:pPr>
        <w:ind w:left="1200"/>
        <w:spacing w:after="0" w:line="226" w:lineRule="auto"/>
        <w:rPr>
          <w:sz w:val="20"/>
          <w:szCs w:val="20"/>
          <w:color w:val="auto"/>
        </w:rPr>
      </w:pPr>
      <w:r>
        <w:rPr>
          <w:rFonts w:ascii="Times New Roman" w:cs="Times New Roman" w:eastAsia="Times New Roman" w:hAnsi="Times New Roman"/>
          <w:sz w:val="14"/>
          <w:szCs w:val="14"/>
          <w:color w:val="auto"/>
        </w:rPr>
        <w:t>increase or</w:t>
      </w:r>
    </w:p>
    <w:p>
      <w:pPr>
        <w:ind w:left="1200"/>
        <w:spacing w:after="0" w:line="222" w:lineRule="auto"/>
        <w:rPr>
          <w:sz w:val="20"/>
          <w:szCs w:val="20"/>
          <w:color w:val="auto"/>
        </w:rPr>
      </w:pPr>
      <w:r>
        <w:rPr>
          <w:rFonts w:ascii="Times New Roman" w:cs="Times New Roman" w:eastAsia="Times New Roman" w:hAnsi="Times New Roman"/>
          <w:sz w:val="14"/>
          <w:szCs w:val="14"/>
          <w:color w:val="auto"/>
        </w:rPr>
        <w:t>decrease of</w:t>
      </w:r>
    </w:p>
    <w:p>
      <w:pPr>
        <w:ind w:left="1200"/>
        <w:spacing w:after="0" w:line="221" w:lineRule="auto"/>
        <w:rPr>
          <w:sz w:val="20"/>
          <w:szCs w:val="20"/>
          <w:color w:val="auto"/>
        </w:rPr>
      </w:pPr>
      <w:r>
        <w:rPr>
          <w:rFonts w:ascii="Times New Roman" w:cs="Times New Roman" w:eastAsia="Times New Roman" w:hAnsi="Times New Roman"/>
          <w:sz w:val="14"/>
          <w:szCs w:val="14"/>
          <w:color w:val="auto"/>
        </w:rPr>
        <w:t>this Global</w:t>
      </w:r>
    </w:p>
    <w:p>
      <w:pPr>
        <w:ind w:left="1200"/>
        <w:spacing w:after="0"/>
        <w:rPr>
          <w:sz w:val="20"/>
          <w:szCs w:val="20"/>
          <w:color w:val="auto"/>
        </w:rPr>
      </w:pPr>
      <w:r>
        <w:rPr>
          <w:rFonts w:ascii="Times New Roman" w:cs="Times New Roman" w:eastAsia="Times New Roman" w:hAnsi="Times New Roman"/>
          <w:sz w:val="14"/>
          <w:szCs w:val="14"/>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5080</wp:posOffset>
            </wp:positionV>
            <wp:extent cx="4718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decrease</w:t>
            </w:r>
          </w:p>
        </w:tc>
        <w:tc>
          <w:tcPr>
            <w:tcW w:w="1540" w:type="dxa"/>
            <w:vAlign w:val="bottom"/>
            <w:gridSpan w:val="2"/>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Amount of increase in</w:t>
            </w:r>
          </w:p>
        </w:tc>
        <w:tc>
          <w:tcPr>
            <w:tcW w:w="144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Principal Amount of</w:t>
            </w:r>
          </w:p>
        </w:tc>
        <w:tc>
          <w:tcPr>
            <w:tcW w:w="26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this Global Note</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 Principal Amount</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 of</w:t>
            </w:r>
          </w:p>
        </w:tc>
        <w:tc>
          <w:tcPr>
            <w:tcW w:w="2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46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authorized signatory</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2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2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decrease or increase</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Trustee</w:t>
            </w:r>
          </w:p>
        </w:tc>
        <w:tc>
          <w:tcPr>
            <w:tcW w:w="0" w:type="dxa"/>
            <w:vAlign w:val="bottom"/>
          </w:tcPr>
          <w:p>
            <w:pPr>
              <w:spacing w:after="0"/>
              <w:rPr>
                <w:sz w:val="1"/>
                <w:szCs w:val="1"/>
                <w:color w:val="auto"/>
              </w:rPr>
            </w:pPr>
          </w:p>
        </w:tc>
      </w:tr>
    </w:tbl>
    <w:p>
      <w:pPr>
        <w:sectPr>
          <w:pgSz w:w="11900" w:h="16838" w:orient="portrait"/>
          <w:cols w:equalWidth="0" w:num="2">
            <w:col w:w="1860" w:space="340"/>
            <w:col w:w="6819"/>
          </w:cols>
          <w:pgMar w:left="1440" w:top="266" w:right="1440" w:bottom="1440" w:gutter="0" w:footer="0" w:header="0"/>
          <w:type w:val="continuous"/>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1765935" cy="316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6593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Cemex, S.A.B.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Avenida Ricardo Margáin Zozaya #325, Colonia Valle del Campestre,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Pedro Garza García, Nuevo León 66265, Mexico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ind w:right="140" w:firstLine="440"/>
        <w:spacing w:after="0" w:line="273" w:lineRule="auto"/>
        <w:rPr>
          <w:sz w:val="20"/>
          <w:szCs w:val="20"/>
          <w:color w:val="auto"/>
        </w:rPr>
      </w:pPr>
      <w:r>
        <w:rPr>
          <w:rFonts w:ascii="Times New Roman" w:cs="Times New Roman" w:eastAsia="Times New Roman" w:hAnsi="Times New Roman"/>
          <w:sz w:val="17"/>
          <w:szCs w:val="17"/>
          <w:color w:val="auto"/>
        </w:rPr>
        <w:t>I am the general counsel of Cemex, S.A.B. de C.V. (the “Company”), a publicly traded variable stock corporation (</w:t>
      </w:r>
      <w:r>
        <w:rPr>
          <w:rFonts w:ascii="Times New Roman" w:cs="Times New Roman" w:eastAsia="Times New Roman" w:hAnsi="Times New Roman"/>
          <w:sz w:val="17"/>
          <w:szCs w:val="17"/>
          <w:i w:val="1"/>
          <w:iCs w:val="1"/>
          <w:color w:val="auto"/>
        </w:rPr>
        <w:t>sociedad anónima bursátil 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capital variable</w:t>
      </w:r>
      <w:r>
        <w:rPr>
          <w:rFonts w:ascii="Times New Roman" w:cs="Times New Roman" w:eastAsia="Times New Roman" w:hAnsi="Times New Roman"/>
          <w:sz w:val="17"/>
          <w:szCs w:val="17"/>
          <w:color w:val="auto"/>
        </w:rPr>
        <w:t>), organized under the laws of the United Mexican States (“Mexico”). I have assisted the Company in connection with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offering pursuant to a registration statement on Form F-3 (No. 333-296381) of U.S.$1,500,000,000 aggregate principal amount of its 5.750% Senior Notes due 2036 (the “Notes”), to be issued under an indenture, dated as of the date hereof (the “Base Indenture”), between the Company and The Bank of New York Mellon, as trustee (in such capacity, the “Trustee”), as supplemented by the first supplemental indenture, dated as of the date hereof (the “First Supplemental Indenture” and, together with the Base Indenture, the “Indenture”), among the Company, Cemex Corp. (the “Guarantor”) and the Trustee. The Indenture provides that the Notes are to be guaranteed (the “Guarantee” and, together with the Notes, the “Securities”) by the Guarantor.</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rendering the opinions stated herein, I have examined and relied upon the following:</w:t>
      </w:r>
    </w:p>
    <w:p>
      <w:pPr>
        <w:spacing w:after="0" w:line="131" w:lineRule="exact"/>
        <w:rPr>
          <w:sz w:val="20"/>
          <w:szCs w:val="20"/>
          <w:color w:val="auto"/>
        </w:rPr>
      </w:pPr>
    </w:p>
    <w:p>
      <w:pPr>
        <w:ind w:left="960" w:hanging="532"/>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including the Base Indenture, which is filed as an exhibit thereto;</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Supplemental Indenture;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notes representing the Notes; and</w:t>
      </w:r>
    </w:p>
    <w:p>
      <w:pPr>
        <w:spacing w:after="0" w:line="12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estatutos sociales</w:t>
      </w:r>
      <w:r>
        <w:rPr>
          <w:rFonts w:ascii="Times New Roman" w:cs="Times New Roman" w:eastAsia="Times New Roman" w:hAnsi="Times New Roman"/>
          <w:sz w:val="18"/>
          <w:szCs w:val="18"/>
          <w:color w:val="auto"/>
        </w:rPr>
        <w:t xml:space="preserve"> (by-laws) of the Company</w:t>
      </w:r>
    </w:p>
    <w:p>
      <w:pPr>
        <w:spacing w:after="0" w:line="227"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In addition, I have reviewed the originals or copies certified or otherwise identified to my satisfaction of all such corporate records of the Company and its Mexican subsidiaries and such other instruments and other certificates of public officials, officers and representatives of the Company and such other persons, and I have made such investigations of law, as I have deemed appropriate as a basis for the opinions expressed below.</w:t>
      </w:r>
    </w:p>
    <w:p>
      <w:pPr>
        <w:sectPr>
          <w:pgSz w:w="11900" w:h="16838" w:orient="portrait"/>
          <w:cols w:equalWidth="0" w:num="1">
            <w:col w:w="11020"/>
          </w:cols>
          <w:pgMar w:left="440" w:top="117" w:right="439" w:bottom="1440" w:gutter="0" w:footer="0" w:header="0"/>
        </w:sectPr>
      </w:pPr>
    </w:p>
    <w:bookmarkStart w:id="182" w:name="page183"/>
    <w:bookmarkEnd w:id="182"/>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rendering the opinions expressed below, I have assumed, without any independent investigation or verification of any kind, (i) the accuracy as to factual matters of each document I have reviewed, (ii) the due authorization, execution and delivery by any party thereto (other than the Company) of the Indenture; (iii) the validity, binding effect and enforceability of the Indenture and the Securities under the laws of the State of New York in the United States of America; (iv) the genuineness and authenticity of all signatures, opinions, documents and papers submitted to me; and (v) that copies of all opinions, documents and papers submitted to me are complete and conform to the originals thereof, and the authenticity of the originals of such copies; and (vi) the legal capacity and competency of all natural persons that executed the documents I have reviewed.</w:t>
      </w:r>
    </w:p>
    <w:p>
      <w:pPr>
        <w:spacing w:after="0" w:line="18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I have assumed that the Company has satisfied the legal requirements that are applicable to them under applicable law other than the law of Mexico to the extent necessary to make the Indenture and the Notes enforceable against it. I have also assumed that the Trustee has satisfied the legal requirements that are applicable to it under applicable law to the extent necessary to make the Indenture enforceable against it.</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having regard for such other considerations as I deem relevant and subject to the further assumptions and qualifications set forth below, I am of the opinion that:</w:t>
      </w:r>
    </w:p>
    <w:p>
      <w:pPr>
        <w:spacing w:after="0" w:line="67" w:lineRule="exact"/>
        <w:rPr>
          <w:sz w:val="20"/>
          <w:szCs w:val="20"/>
          <w:color w:val="auto"/>
        </w:rPr>
      </w:pPr>
    </w:p>
    <w:p>
      <w:pPr>
        <w:ind w:left="960" w:hanging="532"/>
        <w:spacing w:after="0"/>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validly exists as a corporation under the laws of Mexico.</w:t>
      </w:r>
    </w:p>
    <w:p>
      <w:pPr>
        <w:spacing w:after="0" w:line="130" w:lineRule="exact"/>
        <w:rPr>
          <w:rFonts w:ascii="Times New Roman" w:cs="Times New Roman" w:eastAsia="Times New Roman" w:hAnsi="Times New Roman"/>
          <w:sz w:val="18"/>
          <w:szCs w:val="18"/>
          <w:color w:val="auto"/>
        </w:rPr>
      </w:pPr>
    </w:p>
    <w:p>
      <w:pPr>
        <w:ind w:left="960" w:right="940" w:hanging="532"/>
        <w:spacing w:after="0" w:line="282" w:lineRule="auto"/>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to execute and deliver the Notes and to consummate the issuance and sale of the Notes contemplated under the Indenture under Mexican Law.</w:t>
      </w:r>
    </w:p>
    <w:p>
      <w:pPr>
        <w:spacing w:after="0" w:line="67"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by all requisite corporate action on the part of the Company and duly executed by the Company, and when duly authenticated by the Trustee and issued and delivered by the Company against payment therefore in accordance with the terms of the Underwriting Agreement and the Indenture, the Notes will constitute valid and binding obligations of the Company, entitled to the benefits of the Indenture and enforceable against the Company in accordance with their terms.</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Insofar as the foregoing opinions relate to the validity, binding effect or enforceability of any agreement or obligation of the Company, (a) I have assumed that the Company and each other party to such agreement or obligation has satisfied or, prior to the issuance of the Securities, will satisfy those legal requirements that are applicable to it to the extent necessary to make such agreement or obligation enforceable against it (except that no such assumption is made as to the Company regarding matters of federal law of Mexico), and (b) such opinions are subject to applicable bankruptcy, insolvency and similar laws affecting creditors’ rights generally.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is subject to the following qualifications:</w:t>
      </w:r>
    </w:p>
    <w:p>
      <w:pPr>
        <w:spacing w:after="0" w:line="131" w:lineRule="exact"/>
        <w:rPr>
          <w:sz w:val="20"/>
          <w:szCs w:val="20"/>
          <w:color w:val="auto"/>
        </w:rPr>
      </w:pPr>
    </w:p>
    <w:p>
      <w:pPr>
        <w:ind w:left="960" w:hanging="532"/>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treaty exists between the United States and Mexico for the reciprocal enforcement of judgments issued in each country;</w:t>
      </w:r>
    </w:p>
    <w:p>
      <w:pPr>
        <w:spacing w:after="0" w:line="128"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enforcement may be limited or affected by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xml:space="preserve">, bankruptcy, insolvency, liquidation, reorganization, moratorium, fraudulent conveyance and other similar laws and governmental orders of general application relating to or affecting the rights of creditors generally; among other things, (i) interest on principal will not accrue after declaration of concurso mercantil, (ii) the obligations of the Company in foreign currency shall be converted into Mexican currency at the rate of exchange published in the </w:t>
      </w:r>
      <w:r>
        <w:rPr>
          <w:rFonts w:ascii="Times New Roman" w:cs="Times New Roman" w:eastAsia="Times New Roman" w:hAnsi="Times New Roman"/>
          <w:sz w:val="18"/>
          <w:szCs w:val="18"/>
          <w:i w:val="1"/>
          <w:iCs w:val="1"/>
          <w:color w:val="auto"/>
        </w:rPr>
        <w:t>Diario Oficial de la Federación</w:t>
      </w:r>
      <w:r>
        <w:rPr>
          <w:rFonts w:ascii="Times New Roman" w:cs="Times New Roman" w:eastAsia="Times New Roman" w:hAnsi="Times New Roman"/>
          <w:sz w:val="18"/>
          <w:szCs w:val="18"/>
          <w:color w:val="auto"/>
        </w:rPr>
        <w:t xml:space="preserve"> (Official Daily Gazette of the Federation) by </w:t>
      </w:r>
      <w:r>
        <w:rPr>
          <w:rFonts w:ascii="Times New Roman" w:cs="Times New Roman" w:eastAsia="Times New Roman" w:hAnsi="Times New Roman"/>
          <w:sz w:val="18"/>
          <w:szCs w:val="18"/>
          <w:i w:val="1"/>
          <w:iCs w:val="1"/>
          <w:color w:val="auto"/>
        </w:rPr>
        <w:t>Banco de México</w:t>
      </w:r>
      <w:r>
        <w:rPr>
          <w:rFonts w:ascii="Times New Roman" w:cs="Times New Roman" w:eastAsia="Times New Roman" w:hAnsi="Times New Roman"/>
          <w:sz w:val="18"/>
          <w:szCs w:val="18"/>
          <w:color w:val="auto"/>
        </w:rPr>
        <w:t xml:space="preserve"> (the Central Bank of Mexico) in force on the date the declaration of concurso mercantil is made, and (iii) such Mexican currency obligations shall then be converted into “</w:t>
      </w:r>
      <w:r>
        <w:rPr>
          <w:rFonts w:ascii="Times New Roman" w:cs="Times New Roman" w:eastAsia="Times New Roman" w:hAnsi="Times New Roman"/>
          <w:sz w:val="18"/>
          <w:szCs w:val="18"/>
          <w:i w:val="1"/>
          <w:iCs w:val="1"/>
          <w:color w:val="auto"/>
        </w:rPr>
        <w:t>Unidades de Inversión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UDIS</w:t>
      </w:r>
      <w:r>
        <w:rPr>
          <w:rFonts w:ascii="Times New Roman" w:cs="Times New Roman" w:eastAsia="Times New Roman" w:hAnsi="Times New Roman"/>
          <w:sz w:val="18"/>
          <w:szCs w:val="18"/>
          <w:color w:val="auto"/>
        </w:rPr>
        <w:t xml:space="preserve">” (inflation indexed units) at the rate of conversion published by </w:t>
      </w:r>
      <w:r>
        <w:rPr>
          <w:rFonts w:ascii="Times New Roman" w:cs="Times New Roman" w:eastAsia="Times New Roman" w:hAnsi="Times New Roman"/>
          <w:sz w:val="18"/>
          <w:szCs w:val="18"/>
          <w:i w:val="1"/>
          <w:iCs w:val="1"/>
          <w:color w:val="auto"/>
        </w:rPr>
        <w:t>Banco de México</w:t>
      </w:r>
      <w:r>
        <w:rPr>
          <w:rFonts w:ascii="Times New Roman" w:cs="Times New Roman" w:eastAsia="Times New Roman" w:hAnsi="Times New Roman"/>
          <w:sz w:val="18"/>
          <w:szCs w:val="18"/>
          <w:color w:val="auto"/>
        </w:rPr>
        <w:t xml:space="preserve"> for such date. The Securities are unsecured and therefore will have the same ranking as other unsecured debt (“</w:t>
      </w:r>
      <w:r>
        <w:rPr>
          <w:rFonts w:ascii="Times New Roman" w:cs="Times New Roman" w:eastAsia="Times New Roman" w:hAnsi="Times New Roman"/>
          <w:sz w:val="18"/>
          <w:szCs w:val="18"/>
          <w:i w:val="1"/>
          <w:iCs w:val="1"/>
          <w:color w:val="auto"/>
        </w:rPr>
        <w:t>deuda quirografaria</w:t>
      </w:r>
      <w:r>
        <w:rPr>
          <w:rFonts w:ascii="Times New Roman" w:cs="Times New Roman" w:eastAsia="Times New Roman" w:hAnsi="Times New Roman"/>
          <w:sz w:val="18"/>
          <w:szCs w:val="18"/>
          <w:color w:val="auto"/>
        </w:rPr>
        <w:t>”) and no senior status is granted thereto under Mexican law. In addition, pursuant to the laws of Mexico, labor claims, claims of tax authorities for unpaid taxes, social security quotas, worker’s housing fund quotas, retirement fund quotas, as well as claims from secured or privileged creditors, will have priority over claims of the holders of the Securities;</w:t>
      </w:r>
    </w:p>
    <w:p>
      <w:pPr>
        <w:sectPr>
          <w:pgSz w:w="11900" w:h="16838" w:orient="portrait"/>
          <w:cols w:equalWidth="0" w:num="1">
            <w:col w:w="10980"/>
          </w:cols>
          <w:pgMar w:left="440" w:top="270" w:right="479" w:bottom="1440" w:gutter="0" w:footer="0" w:header="0"/>
        </w:sectPr>
      </w:pPr>
    </w:p>
    <w:bookmarkStart w:id="183" w:name="page184"/>
    <w:bookmarkEnd w:id="183"/>
    <w:p>
      <w:pPr>
        <w:ind w:left="532" w:hanging="532"/>
        <w:spacing w:after="0"/>
        <w:tabs>
          <w:tab w:leader="none" w:pos="5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note that the payment of interest on interest may not be enforceable under Mexican law;</w:t>
      </w:r>
    </w:p>
    <w:p>
      <w:pPr>
        <w:spacing w:after="0" w:line="130"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currency provisions (such as Section 16.12 of the Base Indenture and Section 10.10 of the First Supplemental Indenture) may not be enforceable in Mexico;</w:t>
      </w:r>
    </w:p>
    <w:p>
      <w:pPr>
        <w:spacing w:after="0" w:line="67" w:lineRule="exact"/>
        <w:rPr>
          <w:rFonts w:ascii="Times New Roman" w:cs="Times New Roman" w:eastAsia="Times New Roman" w:hAnsi="Times New Roman"/>
          <w:sz w:val="18"/>
          <w:szCs w:val="18"/>
          <w:color w:val="auto"/>
        </w:rPr>
      </w:pPr>
    </w:p>
    <w:p>
      <w:pPr>
        <w:jc w:val="both"/>
        <w:ind w:left="532" w:right="40" w:hanging="532"/>
        <w:spacing w:after="0" w:line="261" w:lineRule="auto"/>
        <w:tabs>
          <w:tab w:leader="none" w:pos="5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proceedings are brought in Mexico seeking performance of the obligations of the Company in Mexico, pursuant to Article 8 of the Ley Monetaria de los Estados Unidos Mexicanos (Mexican Monetary Law), the Company may discharge its obligations by paying any sums due in a currency other than Mexican currency, in Mexican currency at the rate of exchange fixed by the Bank of Mexico for the date when payment is made;</w:t>
      </w:r>
    </w:p>
    <w:p>
      <w:pPr>
        <w:spacing w:after="0" w:line="85" w:lineRule="exact"/>
        <w:rPr>
          <w:rFonts w:ascii="Times New Roman" w:cs="Times New Roman" w:eastAsia="Times New Roman" w:hAnsi="Times New Roman"/>
          <w:sz w:val="18"/>
          <w:szCs w:val="18"/>
          <w:color w:val="auto"/>
        </w:rPr>
      </w:pPr>
    </w:p>
    <w:p>
      <w:pPr>
        <w:ind w:left="532" w:right="460" w:hanging="532"/>
        <w:spacing w:after="0" w:line="261" w:lineRule="auto"/>
        <w:tabs>
          <w:tab w:leader="none" w:pos="5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legal proceedings are brought in the courts of Mexico, a Spanish translation of the documents required in such proceedings, prepared by a court-approved translator, would have to be approved by the court after the defendant had been given an opportunity to be heard with respect to the accuracy of the translation, and proceedings would thereafter be based upon the translated documents;</w:t>
      </w:r>
    </w:p>
    <w:p>
      <w:pPr>
        <w:spacing w:after="0" w:line="85" w:lineRule="exact"/>
        <w:rPr>
          <w:rFonts w:ascii="Times New Roman" w:cs="Times New Roman" w:eastAsia="Times New Roman" w:hAnsi="Times New Roman"/>
          <w:sz w:val="18"/>
          <w:szCs w:val="18"/>
          <w:color w:val="auto"/>
        </w:rPr>
      </w:pPr>
    </w:p>
    <w:p>
      <w:pPr>
        <w:ind w:left="532" w:hanging="532"/>
        <w:spacing w:after="0" w:line="266" w:lineRule="auto"/>
        <w:tabs>
          <w:tab w:leader="none" w:pos="5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prerogatives of the parties, although they may be discretionary, should be supported by the factual assumptions required for their reasonable exercise; in addition, under Mexican law, the Company will have the right to contest in court any notice or certificate of such party purporting to be conclusive and binding;</w:t>
      </w:r>
    </w:p>
    <w:p>
      <w:pPr>
        <w:spacing w:after="0" w:line="81" w:lineRule="exact"/>
        <w:rPr>
          <w:rFonts w:ascii="Times New Roman" w:cs="Times New Roman" w:eastAsia="Times New Roman" w:hAnsi="Times New Roman"/>
          <w:sz w:val="18"/>
          <w:szCs w:val="18"/>
          <w:color w:val="auto"/>
        </w:rPr>
      </w:pPr>
    </w:p>
    <w:p>
      <w:pPr>
        <w:ind w:left="532" w:right="460" w:hanging="532"/>
        <w:spacing w:after="0" w:line="282" w:lineRule="auto"/>
        <w:tabs>
          <w:tab w:leader="none" w:pos="5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may become barred under the statutes of limitation, the application of which is not waivable under Mexican law, or may be or become subject to defenses of set-off or counterclaim;</w:t>
      </w:r>
    </w:p>
    <w:p>
      <w:pPr>
        <w:spacing w:after="0" w:line="6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Mexican court may stay proceedings held in such court if concurrent proceedings are being held elsewhere;</w:t>
      </w:r>
    </w:p>
    <w:p>
      <w:pPr>
        <w:spacing w:after="0" w:line="130" w:lineRule="exact"/>
        <w:rPr>
          <w:rFonts w:ascii="Times New Roman" w:cs="Times New Roman" w:eastAsia="Times New Roman" w:hAnsi="Times New Roman"/>
          <w:sz w:val="18"/>
          <w:szCs w:val="18"/>
          <w:color w:val="auto"/>
        </w:rPr>
      </w:pPr>
    </w:p>
    <w:p>
      <w:pPr>
        <w:ind w:left="532" w:right="20" w:hanging="532"/>
        <w:spacing w:after="0" w:line="261" w:lineRule="auto"/>
        <w:tabs>
          <w:tab w:leader="none" w:pos="5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provisions contained in the Indenture regarding service of process, it should be noted that service of process by mail does not constitute personal service under Mexican law and, since such service is considered to be a basic procedural requirement under such law, if for purposes of proceedings outside Mexico service of process is made by mail, a final judgment based on such service of process would not be enforced by the courts of Mexico;</w:t>
      </w:r>
    </w:p>
    <w:p>
      <w:pPr>
        <w:spacing w:after="0" w:line="85" w:lineRule="exact"/>
        <w:rPr>
          <w:rFonts w:ascii="Times New Roman" w:cs="Times New Roman" w:eastAsia="Times New Roman" w:hAnsi="Times New Roman"/>
          <w:sz w:val="18"/>
          <w:szCs w:val="18"/>
          <w:color w:val="auto"/>
        </w:rPr>
      </w:pPr>
    </w:p>
    <w:p>
      <w:pPr>
        <w:ind w:left="532" w:right="100" w:hanging="532"/>
        <w:spacing w:after="0" w:line="261" w:lineRule="auto"/>
        <w:tabs>
          <w:tab w:leader="none" w:pos="5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provisions contained in the Indenture regarding service of process, I note that the irrevocability of the appointment of Cemex NY Corporation as the authorized agent for service of process of the Company may not be enforceable under Mexican law and, as a consequence, such appointment may be legally revoked, although any affected parties under the Indenture could bring any claim or remedies they may have available under the Indenture or applicable law as a result of such revocation;</w:t>
      </w:r>
    </w:p>
    <w:p>
      <w:pPr>
        <w:sectPr>
          <w:pgSz w:w="11900" w:h="16838" w:orient="portrait"/>
          <w:cols w:equalWidth="0" w:num="1">
            <w:col w:w="10572"/>
          </w:cols>
          <w:pgMar w:left="868" w:top="270" w:right="459" w:bottom="1440" w:gutter="0" w:footer="0" w:header="0"/>
        </w:sectPr>
      </w:pPr>
    </w:p>
    <w:bookmarkStart w:id="184" w:name="page185"/>
    <w:bookmarkEnd w:id="184"/>
    <w:p>
      <w:pPr>
        <w:ind w:left="960" w:hanging="532"/>
        <w:spacing w:after="0" w:line="266" w:lineRule="auto"/>
        <w:tabs>
          <w:tab w:leader="none" w:pos="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note that any covenants of the Company which purport to bind it on matters reserved by law to shareholders or owners of equity interests, or which purport to bind shareholders or owners of equity interests to vote or refrain from voting their shares or equity interests in the Company, as applicable, are not enforceable, under Mexican law, through specific performance;</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legal proceedings are brought in the courts of Mexico to enforce a holder’s rights under the Securities or the Indenture, the Mexican courts would apply Mexican procedural law;</w:t>
      </w:r>
    </w:p>
    <w:p>
      <w:pPr>
        <w:spacing w:after="0" w:line="67"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express no opinion as to the enforceability in Mexican jurisdictions on judgments in actions predicated on civil liability provisions of U.S. federal securities laws;</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provisions contained in the Indenture in connection with service of process, it should be noted that service of process by mail does not constitute personal service of process under Mexican law and, since such service is considered to be a basic procedural requirement, if for purposes of proceedings outside Mexico service of process is made by mail, a final judgment based on such process would not be enforced by the courts of Mexico; and</w:t>
      </w:r>
    </w:p>
    <w:p>
      <w:pPr>
        <w:spacing w:after="0" w:line="85"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stated herein, I make no comment with regard to any representation which may be made by the Company in any of the documents referred to above or otherwise.</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 express no opinion as to any laws other than the laws of Mexico and I have assumed that there is nothing in the law of any other jurisdiction that affects this opinion letter, which is delivered, based upon applicable law as of the date hereof. In particular, I have made no independent investigation of the laws of the United States of America or any jurisdiction thereof as a basis for the opinions stated herein and do not express or imply any opinion on or based on the criteria or standards provided for in such laws. As to questions related to the federal laws of the United States of America and the State of New York that are relevant to my opinion set forth above, I have relied, without making any independent investigation with respect thereto, for purposes of delivery of this opinion letter, on the opinion, dated today, of Skadden, Arps, Slate, Meagher &amp; Flom LLP, special United States counsel to the Company.</w:t>
      </w:r>
    </w:p>
    <w:p>
      <w:pPr>
        <w:spacing w:after="0" w:line="18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rendering the foregoing opinion, I have relied (i) as to factual matters on certificates of directors, executive officers and certain other employees of the Company and (ii) as to matters of United States federal and New York law on the opinion of Skadden, Arps, Slate, Meagher &amp; Flom LLP, United States counsel for the Company.</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 hereby consent (i) to the filing of this opinion with the U.S. Securities and Exchange Commission (the “Commission”) as an exhibit to the Company’s Current Report on Form 6-K being filed on the date hereof and incorporated by reference into the Registration Statement, and (ii) to the reference to me in the prospectus constituting a part of the Registration Statement under the heading “Legal Matters” and in any prospectus supplement related thereto under the heading “Legal Matters” as counsel for the Company who have passed on the validity of the Notes being registered by the Registration Statement. In giving such consent, I do not thereby admit that I am an expert with respect to any part of the Registration Statement, including this exhibit, within the meaning of the term “expert” as used in the U.S. Securities Act of 1933 or the rules and regulations of the Commission thereunder. Skadden, Arps, Slate, Meagher &amp; Flom LLP may rely upon this opinion in rendering their opinion to the Company.</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opinion is being rendered based on the legal provisions applicable in Mexico as of the date hereof. I assume no obligation to supplement this opinion if any applicable law changes after the date hereof or if I become aware of any facts that might change the opinions expressed herein after the date 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Roger Saldaña Madero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Roger Saldaña Madero</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10980"/>
          </w:cols>
          <w:pgMar w:left="440" w:top="270" w:right="479" w:bottom="1440" w:gutter="0" w:footer="0" w:header="0"/>
        </w:sectPr>
      </w:pPr>
    </w:p>
    <w:bookmarkStart w:id="185" w:name="page186"/>
    <w:bookmarkEnd w:id="185"/>
    <w:p>
      <w:pPr>
        <w:spacing w:after="0" w:line="200" w:lineRule="exact"/>
        <w:rPr>
          <w:sz w:val="20"/>
          <w:szCs w:val="20"/>
          <w:color w:val="auto"/>
        </w:rPr>
      </w:pPr>
    </w:p>
    <w:p>
      <w:pPr>
        <w:spacing w:after="0" w:line="263"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4"/>
          <w:szCs w:val="14"/>
          <w:color w:val="auto"/>
        </w:rPr>
        <w:t>LOM LLP</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NEW YORK, NY 10001</w:t>
      </w:r>
    </w:p>
    <w:p>
      <w:pPr>
        <w:spacing w:after="0" w:line="10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-7620</wp:posOffset>
            </wp:positionV>
            <wp:extent cx="12566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1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TEL: (212) 735-3000</w:t>
      </w:r>
    </w:p>
    <w:p>
      <w:pPr>
        <w:spacing w:after="0" w:line="27"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color w:val="auto"/>
        </w:rPr>
        <w:t>FAX: (212) 735-2000</w:t>
      </w:r>
    </w:p>
    <w:p>
      <w:pPr>
        <w:spacing w:after="0" w:line="112"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Cemex, S.A.B.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Avenida Ricardo Margáin Zozaya #325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Colonia Valle del Campestre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Pedro Garza García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Nuevo León, 66265 México</w:t>
      </w:r>
    </w:p>
    <w:p>
      <w:pPr>
        <w:spacing w:after="0" w:line="234" w:lineRule="exact"/>
        <w:rPr>
          <w:sz w:val="20"/>
          <w:szCs w:val="20"/>
          <w:color w:val="auto"/>
        </w:rPr>
      </w:pPr>
    </w:p>
    <w:p>
      <w:pPr>
        <w:ind w:left="2420"/>
        <w:spacing w:after="0"/>
        <w:tabs>
          <w:tab w:leader="none" w:pos="28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Cemex, S.A.B. de C.V.</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F-3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FIRM/AFFILIATE</w:t>
      </w:r>
    </w:p>
    <w:p>
      <w:pPr>
        <w:spacing w:after="0" w:line="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OFFICES</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-19050</wp:posOffset>
            </wp:positionV>
            <wp:extent cx="8001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0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BOSTON</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CHICAGO</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HOUSTON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LOS ANGELES</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PALO ALTO</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WASHINGTON, D.C.</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WILMINGTON</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-19050</wp:posOffset>
            </wp:positionV>
            <wp:extent cx="8001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06"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ABU DHABI</w:t>
      </w:r>
    </w:p>
    <w:p>
      <w:pPr>
        <w:spacing w:after="0" w:line="27"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BEIJING</w:t>
      </w:r>
    </w:p>
    <w:p>
      <w:pPr>
        <w:spacing w:after="0" w:line="9"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BRUSSELS</w:t>
      </w:r>
    </w:p>
    <w:p>
      <w:pPr>
        <w:spacing w:after="0" w:line="9"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FRANKFURT</w:t>
      </w:r>
    </w:p>
    <w:p>
      <w:pPr>
        <w:spacing w:after="0" w:line="9"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MUNICH</w:t>
      </w:r>
    </w:p>
    <w:p>
      <w:pPr>
        <w:spacing w:after="0" w:line="9"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PARIS</w:t>
      </w:r>
    </w:p>
    <w:p>
      <w:pPr>
        <w:spacing w:after="0" w:line="6"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SÃO PAULO</w:t>
      </w:r>
    </w:p>
    <w:p>
      <w:pPr>
        <w:ind w:left="1460" w:right="440" w:hanging="1448"/>
        <w:spacing w:after="0" w:line="272" w:lineRule="auto"/>
        <w:tabs>
          <w:tab w:leader="none" w:pos="1440" w:val="left"/>
        </w:tabs>
        <w:rPr>
          <w:sz w:val="20"/>
          <w:szCs w:val="20"/>
          <w:color w:val="auto"/>
        </w:rPr>
      </w:pPr>
      <w:r>
        <w:rPr>
          <w:rFonts w:ascii="Times New Roman" w:cs="Times New Roman" w:eastAsia="Times New Roman" w:hAnsi="Times New Roman"/>
          <w:sz w:val="18"/>
          <w:szCs w:val="18"/>
          <w:color w:val="auto"/>
        </w:rPr>
        <w:t>June 5, 2026</w:t>
      </w:r>
      <w:r>
        <w:rPr>
          <w:sz w:val="20"/>
          <w:szCs w:val="20"/>
          <w:color w:val="auto"/>
        </w:rPr>
        <w:tab/>
      </w:r>
      <w:r>
        <w:rPr>
          <w:rFonts w:ascii="Times New Roman" w:cs="Times New Roman" w:eastAsia="Times New Roman" w:hAnsi="Times New Roman"/>
          <w:sz w:val="17"/>
          <w:szCs w:val="17"/>
          <w:color w:val="auto"/>
        </w:rPr>
        <w:t>SEOUL SINGAPORE</w:t>
      </w:r>
    </w:p>
    <w:p>
      <w:pPr>
        <w:spacing w:after="0" w:line="1"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TOKYO</w:t>
      </w:r>
    </w:p>
    <w:p>
      <w:pPr>
        <w:spacing w:after="0" w:line="9"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TORONTO</w:t>
      </w:r>
    </w:p>
    <w:p>
      <w:pPr>
        <w:spacing w:after="0" w:line="2501" w:lineRule="exact"/>
        <w:rPr>
          <w:sz w:val="20"/>
          <w:szCs w:val="20"/>
          <w:color w:val="auto"/>
        </w:rPr>
      </w:pPr>
    </w:p>
    <w:p>
      <w:pPr>
        <w:sectPr>
          <w:pgSz w:w="11900" w:h="16838" w:orient="portrait"/>
          <w:cols w:equalWidth="0" w:num="2">
            <w:col w:w="7400" w:space="720"/>
            <w:col w:w="2900"/>
          </w:cols>
          <w:pgMar w:left="440" w:top="117" w:right="439" w:bottom="1440" w:gutter="0" w:footer="0" w:header="0"/>
        </w:sectPr>
      </w:pPr>
    </w:p>
    <w:p>
      <w:pPr>
        <w:ind w:left="980"/>
        <w:spacing w:after="0"/>
        <w:rPr>
          <w:sz w:val="20"/>
          <w:szCs w:val="20"/>
          <w:color w:val="auto"/>
        </w:rPr>
      </w:pPr>
      <w:r>
        <w:rPr>
          <w:rFonts w:ascii="Times New Roman" w:cs="Times New Roman" w:eastAsia="Times New Roman" w:hAnsi="Times New Roman"/>
          <w:sz w:val="18"/>
          <w:szCs w:val="18"/>
          <w:color w:val="auto"/>
        </w:rPr>
        <w:t>We have acted as special United States counsel to Cemex, S.A.B. de C.V., a publicly traded stock corporation with variable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sociedad anónima bursátil de capital variable</w:t>
      </w:r>
      <w:r>
        <w:rPr>
          <w:rFonts w:ascii="Times New Roman" w:cs="Times New Roman" w:eastAsia="Times New Roman" w:hAnsi="Times New Roman"/>
          <w:sz w:val="18"/>
          <w:szCs w:val="18"/>
          <w:color w:val="auto"/>
        </w:rPr>
        <w:t>), organized under the laws of the United Mexican States (“Mexico”), in connection with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of $1,500,000,000 aggregate principal amount of the Company’s Senior Notes due 2036 (the “Notes”) to be issued under an indenture, dated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June 5, 2026 (the “Base Indenture”), between the Company and The Bank of New York Mellon, as trustee (in such capacity, the “Trustee”),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by the supplemental indenture, dated as of the date hereof (the “First Supplemental Indenture” and, together with the Base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among the Company, Cemex Corp., a Delaware corporation (the “Guarantor”), and the Trustee. The Indenture provides that the Notes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guaranteed by the Guarantor (such guarantees, together with the Notes, the “Securities”).</w:t>
      </w:r>
    </w:p>
    <w:p>
      <w:pPr>
        <w:spacing w:after="0" w:line="20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 of 1933 (the “Securities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225" w:lineRule="exact"/>
        <w:rPr>
          <w:sz w:val="20"/>
          <w:szCs w:val="20"/>
          <w:color w:val="auto"/>
        </w:rPr>
      </w:pPr>
    </w:p>
    <w:p>
      <w:pPr>
        <w:ind w:right="160" w:firstLine="987"/>
        <w:spacing w:after="0" w:line="258"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(File No. 333-296381) of the Company relating to the debt securities and related guarantees of the Company and the Guarantor filed with the Securities and Exchange Commission (the “Commission”) on June 1, 2026 under the Securities Act of 1933 (the “Securities Act”) allowing for delayed offerings pursuant to Rule 415 of the General Rules and Regulations under the Securities Act (the “Rules and Regulations”), including the information deemed to be a part of the registration statement pursuant to Rule 430B of the Rules and Regulations (such registration statement being hereinafter referred to as the “Registration Statement”);</w:t>
      </w:r>
    </w:p>
    <w:p>
      <w:pPr>
        <w:sectPr>
          <w:pgSz w:w="11900" w:h="16838" w:orient="portrait"/>
          <w:cols w:equalWidth="0" w:num="1">
            <w:col w:w="11020"/>
          </w:cols>
          <w:pgMar w:left="440" w:top="117" w:right="4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40" w:hanging="253"/>
        <w:spacing w:after="0"/>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dated June 1, 2026 (the “Base Prospectus”), which forms a part of and is included in the Registration Statement;</w:t>
      </w:r>
    </w:p>
    <w:p>
      <w:pPr>
        <w:spacing w:after="0" w:line="225"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supplement, dated June 1, 2026 (together with the Base Prospectus, the “Preliminary Prospectus”), relating to the offering of the Securities, in the form filed with the Commission pursuant to Rule 424(b) of the Rules and Regulations;</w:t>
      </w:r>
    </w:p>
    <w:p>
      <w:pPr>
        <w:spacing w:after="0" w:line="161"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dated June 2, 2026 (together with the Base Prospectus, the “Prospectus”), relating to the offering of the Securities, in the form filed with the Commission pursuant to Rule 424(b) of the Rules and Regulations;</w:t>
      </w:r>
    </w:p>
    <w:p>
      <w:pPr>
        <w:spacing w:after="0" w:line="161" w:lineRule="exact"/>
        <w:rPr>
          <w:rFonts w:ascii="Times New Roman" w:cs="Times New Roman" w:eastAsia="Times New Roman" w:hAnsi="Times New Roman"/>
          <w:sz w:val="18"/>
          <w:szCs w:val="18"/>
          <w:color w:val="auto"/>
        </w:rPr>
      </w:pPr>
    </w:p>
    <w:p>
      <w:pPr>
        <w:ind w:right="380" w:firstLine="987"/>
        <w:spacing w:after="0" w:line="261"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June 2, 2026 (the “Underwriting Agreement”), among the Company, the Guarantor and BofA Securities, Inc., Citigroup Global Markets Inc., Credit Agricole Securities (USA) Inc., J.P. Morgan Securities LLC, Mizuho Securities USA LLC and SMBC Nikko Securities America, Inc. as representatives of the several Underwriters named therein (the “Underwriters”), relating to the sale by the Company and the Guarantor to the Underwriters of the Securities;</w:t>
      </w:r>
    </w:p>
    <w:p>
      <w:pPr>
        <w:spacing w:after="0" w:line="179"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Indenture, including Article III thereof containing the guaranty obligations of the Guarantor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First Supplemental Indenture;</w:t>
      </w:r>
    </w:p>
    <w:p>
      <w:pPr>
        <w:spacing w:after="0" w:line="225" w:lineRule="exact"/>
        <w:rPr>
          <w:rFonts w:ascii="Times New Roman" w:cs="Times New Roman" w:eastAsia="Times New Roman" w:hAnsi="Times New Roman"/>
          <w:sz w:val="18"/>
          <w:szCs w:val="18"/>
          <w:color w:val="auto"/>
        </w:rPr>
      </w:pPr>
    </w:p>
    <w:p>
      <w:pPr>
        <w:ind w:right="820" w:firstLine="987"/>
        <w:spacing w:after="0" w:line="282"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certificates evidencing the Notes, executed by the Company and registered in the name of Cede &amp; Co. (the “Note Certificates”), delivered by the Company to the Trustee for authentication and delivery;</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0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for the Guarantor of Guillermo Francisco Hernández Morales, Secretary of the Guarantor, dated the date hereof (the “Secretary’s Certificate”);</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Guarantor’s Amended and Restated Certificate of Incorporation certified by the Secretary of State of the State of Delaware as of June 1, 2026, and certified pursuant to the Secretary’s Certificate as being in effect on the date of the resolutions referred to below and as of the date hereof;</w:t>
      </w:r>
    </w:p>
    <w:p>
      <w:pPr>
        <w:spacing w:after="0" w:line="175"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Guarantor’s bylaws, certified pursuant to the Secretary’s Certificate as being in effect on the date of the resolutions referred to below and as of the date hereof; and</w:t>
      </w:r>
    </w:p>
    <w:p>
      <w:pPr>
        <w:sectPr>
          <w:pgSz w:w="11900" w:h="16838" w:orient="portrait"/>
          <w:cols w:equalWidth="0" w:num="1">
            <w:col w:w="10980"/>
          </w:cols>
          <w:pgMar w:left="440" w:top="270"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160" w:firstLine="987"/>
        <w:spacing w:after="0" w:line="282" w:lineRule="auto"/>
        <w:tabs>
          <w:tab w:leader="none" w:pos="120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certain resolutions of the Board of Directors of the Guarantor, adopted on June 5, 2026, certified pursuant to the Secretary’s Certificate, as applicable.</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the Guarantor and such agreements, certificates and receipts of public officials, certificates of officers or other representatives of the Company and the Guarantor and others, and such other documents as we have deemed necessary or appropriate as a basis for the opinions stated below.</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the Guarantor and others and of public officials, including the facts and conclusions set forth in the Secretary’s Certificate and the factual representations and warranties contained in the Underwriting Agreement.</w:t>
      </w:r>
    </w:p>
    <w:p>
      <w:pPr>
        <w:spacing w:after="0" w:line="18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(i) the laws, of the State of New York and (ii) the General Corporation Law of the State of Delaware (the “DGCL”) (all of the foregoing being referred to as “Opined-on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herein, “Transaction Documents” means the Underwriting Agreement, the Indenture and the Note Certificates.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ind w:right="120" w:firstLine="987"/>
        <w:spacing w:after="0" w:line="261" w:lineRule="auto"/>
        <w:tabs>
          <w:tab w:leader="none" w:pos="117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Note Certificates have been duly authorized and executed by the Company and duly authenticated by the Trustee and issued and delivered by the Company against payment therefor in accordance with the terms of the Underwriting Agreement and the Indenture, the Note Certificates will constitute valid and binding obligations of the Company, enforceable against the Company in accordance with their terms under the laws of the State of New York.</w:t>
      </w:r>
    </w:p>
    <w:p>
      <w:pPr>
        <w:spacing w:after="0" w:line="179" w:lineRule="exact"/>
        <w:rPr>
          <w:rFonts w:ascii="Times New Roman" w:cs="Times New Roman" w:eastAsia="Times New Roman" w:hAnsi="Times New Roman"/>
          <w:sz w:val="18"/>
          <w:szCs w:val="18"/>
          <w:color w:val="auto"/>
        </w:rPr>
      </w:pPr>
    </w:p>
    <w:p>
      <w:pPr>
        <w:ind w:right="280" w:firstLine="987"/>
        <w:spacing w:after="0" w:line="261" w:lineRule="auto"/>
        <w:tabs>
          <w:tab w:leader="none" w:pos="11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of the Guarantor have been duly authorized by all requisite corporate action on the part of such Guarantor under the DGCL and, when the Note Certificates are issued and delivered by the Company against payment therefor in accordance with the terms of the Underwriting Agreement and the Indenture, each Guarantee will constitute the valid and binding obligation of the applicable Guarantor, enforceable against such Guarantor in accordance with its terms under the laws of the State of New York.</w:t>
      </w:r>
    </w:p>
    <w:p>
      <w:pPr>
        <w:sectPr>
          <w:pgSz w:w="11900" w:h="16838" w:orient="portrait"/>
          <w:cols w:equalWidth="0" w:num="1">
            <w:col w:w="10960"/>
          </w:cols>
          <w:pgMar w:left="440" w:top="270"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opinions stated herein are subject to the following assumptions and qualifications:</w:t>
      </w:r>
    </w:p>
    <w:p>
      <w:pPr>
        <w:spacing w:after="0" w:line="225" w:lineRule="exact"/>
        <w:rPr>
          <w:sz w:val="20"/>
          <w:szCs w:val="20"/>
          <w:color w:val="auto"/>
        </w:rPr>
      </w:pPr>
    </w:p>
    <w:p>
      <w:pPr>
        <w:jc w:val="both"/>
        <w:ind w:right="20" w:firstLine="987"/>
        <w:spacing w:after="0" w:line="261"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spacing w:after="0" w:line="175" w:lineRule="exact"/>
        <w:rPr>
          <w:rFonts w:ascii="Times New Roman" w:cs="Times New Roman" w:eastAsia="Times New Roman" w:hAnsi="Times New Roman"/>
          <w:sz w:val="18"/>
          <w:szCs w:val="18"/>
          <w:color w:val="auto"/>
        </w:rPr>
      </w:pPr>
    </w:p>
    <w:p>
      <w:pPr>
        <w:ind w:right="260" w:firstLine="987"/>
        <w:spacing w:after="0" w:line="312" w:lineRule="auto"/>
        <w:tabs>
          <w:tab w:leader="none" w:pos="1236"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139" w:lineRule="exact"/>
        <w:rPr>
          <w:rFonts w:ascii="Times New Roman" w:cs="Times New Roman" w:eastAsia="Times New Roman" w:hAnsi="Times New Roman"/>
          <w:sz w:val="17"/>
          <w:szCs w:val="17"/>
          <w:color w:val="auto"/>
        </w:rPr>
      </w:pPr>
    </w:p>
    <w:p>
      <w:pPr>
        <w:ind w:firstLine="987"/>
        <w:spacing w:after="0" w:line="261"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w:t>
      </w:r>
    </w:p>
    <w:p>
      <w:pPr>
        <w:spacing w:after="0" w:line="179"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whether the execution or delivery of any Transaction Document by the Company or the Guarantor, or the performance by the Company or the Guarantor of its obligations under any Transaction Document to which the Company or the Guarantor is a party will constitute a violation of, or a default under, any covenant, restriction or provision with respect to financial ratios or tests or any aspect of the financial condition or results of operations of the Company, the Guarantor or any of its subsidiaries;</w:t>
      </w:r>
    </w:p>
    <w:p>
      <w:pPr>
        <w:spacing w:after="0" w:line="179"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1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stated herein are limited to the agreements and documents specifically identified in the opinions contained herein (the “Specified Documents”)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spacing w:after="0" w:line="179"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shall be interpreted in accordance with customary practice of United States lawyers who regularly give opinions in transactions of this type;</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effectiveness of the Base Indenture and immediately prior to the issuance of the Notes Certificates and the effectiveness of the First Supplemental Indenture, the Indenture has not been amended, restated, supplemented or otherwise modified in any way that affects or relates to the Notes Certificates;</w:t>
      </w:r>
    </w:p>
    <w:p>
      <w:pPr>
        <w:sectPr>
          <w:pgSz w:w="11900" w:h="16838" w:orient="portrait"/>
          <w:cols w:equalWidth="0" w:num="1">
            <w:col w:w="10980"/>
          </w:cols>
          <w:pgMar w:left="440" w:top="270"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right="160" w:firstLine="987"/>
        <w:spacing w:after="0" w:line="266" w:lineRule="auto"/>
        <w:tabs>
          <w:tab w:leader="none" w:pos="120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Section 16.11 of the Base Indenture, Section 10.08(a) of the First Supplemental Indenture and Section 13(a) of the Note Certificates to the extent that such section purports to bind the Company or the Guarantor to the exclusive jurisdiction of any particular federal court or courts;</w:t>
      </w:r>
    </w:p>
    <w:p>
      <w:pPr>
        <w:spacing w:after="0" w:line="175" w:lineRule="exact"/>
        <w:rPr>
          <w:rFonts w:ascii="Times New Roman" w:cs="Times New Roman" w:eastAsia="Times New Roman" w:hAnsi="Times New Roman"/>
          <w:sz w:val="18"/>
          <w:szCs w:val="18"/>
          <w:color w:val="auto"/>
        </w:rPr>
      </w:pPr>
    </w:p>
    <w:p>
      <w:pPr>
        <w:jc w:val="both"/>
        <w:ind w:right="200" w:firstLine="987"/>
        <w:spacing w:after="0" w:line="261" w:lineRule="auto"/>
        <w:tabs>
          <w:tab w:leader="none" w:pos="120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79"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Cemex NY Corporation has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0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Section 3.01 of the First Supplemental Indenture to the extent that such section provides that the obligations of the Guarantor are absolute and unconditional irrespective of the enforceability or genuineness of the Indenture or the effect thereof on the opinions herein stated;</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9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the provisions contained in Section 3.03 of the First Supplemental Indenture to the extent that such provisions limit the obligation of the Guarantor under the Indenture or any right of contribution of any party with respect to the Guarantee;</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the opinions stated herein are subject to possible judicial action giving effect to governmental actions or laws of jurisdictions other than those with respect to which we express our opinion;</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w:t>
      </w:r>
    </w:p>
    <w:p>
      <w:pPr>
        <w:spacing w:after="0" w:line="175" w:lineRule="exact"/>
        <w:rPr>
          <w:rFonts w:ascii="Times New Roman" w:cs="Times New Roman" w:eastAsia="Times New Roman" w:hAnsi="Times New Roman"/>
          <w:sz w:val="18"/>
          <w:szCs w:val="18"/>
          <w:color w:val="auto"/>
        </w:rPr>
      </w:pPr>
    </w:p>
    <w:p>
      <w:pPr>
        <w:jc w:val="both"/>
        <w:ind w:right="300" w:firstLine="987"/>
        <w:spacing w:after="0" w:line="261"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179"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rendering the opinions expressed above, we have also assumed, without independent investigation or verification of any kind, that the choice of New York law to govern the Transaction Documents, which are stated therein to be governed thereby, is legal and valid under the laws of other applicable jurisdictions and that insofar as any obligation under any of the Transaction Documents is to be performed in any jurisdiction outside the United States of America, its performance will not be illegal or ineffective by virtue of the law of that jurisdiction; and</w:t>
      </w:r>
    </w:p>
    <w:p>
      <w:pPr>
        <w:sectPr>
          <w:pgSz w:w="11900" w:h="16838" w:orient="portrait"/>
          <w:cols w:equalWidth="0" w:num="1">
            <w:col w:w="10980"/>
          </w:cols>
          <w:pgMar w:left="440" w:top="270"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right="160" w:firstLine="987"/>
        <w:spacing w:after="0" w:line="312" w:lineRule="auto"/>
        <w:tabs>
          <w:tab w:leader="none" w:pos="121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rendering the opinions expressed above, we note that the various obligations of the Company in respect of the Transaction Documents implicate the laws of Mexico and, accordingly, such obligations may be affected by such laws, as to which we do not express any opinion.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in rendering the foregoing opinions we have also assumed that, at all applicable times:</w:t>
      </w:r>
    </w:p>
    <w:p>
      <w:pPr>
        <w:spacing w:after="0" w:line="225" w:lineRule="exact"/>
        <w:rPr>
          <w:sz w:val="20"/>
          <w:szCs w:val="20"/>
          <w:color w:val="auto"/>
        </w:rPr>
      </w:pPr>
    </w:p>
    <w:p>
      <w:pPr>
        <w:ind w:right="40" w:firstLine="987"/>
        <w:spacing w:after="0" w:line="261"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was duly incorporated and was validly existing and in good standing, (ii) had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 to which the Company is a party;</w:t>
      </w:r>
    </w:p>
    <w:p>
      <w:pPr>
        <w:spacing w:after="0" w:line="179"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the corporate power and authority to execute, deliver and perform all its obligations under each of the Transaction Documents to which the Company is a party;</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Transaction Documents to which the Company is a party had been duly authorized, executed and delivered by all requisite corporate action on the part of the Company;</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and the Guarantor of the Transaction Documents to which the Company or the Guarantor is a party nor the performance by the Company and the Guarantor of its obligations thereunder, including the issuance and sale of the Securities: (i) conflicted or will conflict with the certificate of incorporation or by-laws of the Company or the Guarantor, (ii) constituted or will constitute a violation of, or a default under, any lease, indenture, agreement or other instrument to which the Company or the Guarantor or its property is subject (except that we do not make the assumption set forth in this clause (ii) with respect to those agreements or instruments expressed to be governed by the laws of the State of New York which are listed in Part II of the Registration Statement or the Company’s Annual Report on Form 20-F for the year ended December 31, 2025, (iii) contravened or will contravene any order or decree of any governmental authority to which the Company or the Guarantor or their respective properties is subject, or (iv) violated or will violate any law, rule or regulation to which the Company or the Guarantor or their respective properties is subject (except that we do not make the assumption set forth in this clause (iv) with respect to the Opined-on Law); and</w:t>
      </w:r>
    </w:p>
    <w:p>
      <w:pPr>
        <w:spacing w:after="0" w:line="188" w:lineRule="exact"/>
        <w:rPr>
          <w:rFonts w:ascii="Times New Roman" w:cs="Times New Roman" w:eastAsia="Times New Roman" w:hAnsi="Times New Roman"/>
          <w:sz w:val="18"/>
          <w:szCs w:val="18"/>
          <w:color w:val="auto"/>
        </w:rPr>
      </w:pPr>
    </w:p>
    <w:p>
      <w:pPr>
        <w:ind w:right="240" w:firstLine="987"/>
        <w:spacing w:after="0" w:line="261"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or the Guarantor of the Transaction Documents to which the Company or the Guarantor is a party nor the performance by the Company and the Guarantor of its obligations thereunder, including the issuance and sale of the Securities, required or will require the consent, approval, licensing or authorization of, or any filing, recording or registration with, any governmental authority under any law, rule or regulation of any jurisdiction.</w:t>
      </w:r>
    </w:p>
    <w:p>
      <w:pPr>
        <w:sectPr>
          <w:pgSz w:w="11900" w:h="16838" w:orient="portrait"/>
          <w:cols w:equalWidth="0" w:num="1">
            <w:col w:w="10980"/>
          </w:cols>
          <w:pgMar w:left="440" w:top="270"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We also hereby consent to the filing of this opinion letter with the Commission as an exhibit to the Company’s Current Report on Form 8-K being filed on the date hereof and incorporated by reference into the Registration Statement.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214"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GAF</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lowerLetter"/>
      <w:start w:val="1"/>
    </w:lvl>
  </w:abstractNum>
  <w:abstractNum w:abstractNumId="1">
    <w:nsid w:val="98A3148"/>
    <w:multiLevelType w:val="hybridMultilevel"/>
    <w:lvl w:ilvl="0">
      <w:lvlJc w:val="left"/>
      <w:lvlText w:val="(%1)"/>
      <w:numFmt w:val="lowerRoman"/>
      <w:start w:val="4"/>
    </w:lvl>
  </w:abstractNum>
  <w:abstractNum w:abstractNumId="2">
    <w:nsid w:val="799D0247"/>
    <w:multiLevelType w:val="hybridMultilevel"/>
    <w:lvl w:ilvl="0">
      <w:lvlJc w:val="left"/>
      <w:lvlText w:val="(%1)"/>
      <w:numFmt w:val="lowerRoman"/>
      <w:start w:val="5"/>
    </w:lvl>
  </w:abstractNum>
  <w:abstractNum w:abstractNumId="3">
    <w:nsid w:val="6B94764"/>
    <w:multiLevelType w:val="hybridMultilevel"/>
    <w:lvl w:ilvl="0">
      <w:lvlJc w:val="left"/>
      <w:lvlText w:val="(%1)"/>
      <w:numFmt w:val="lowerRoman"/>
      <w:start w:val="1"/>
    </w:lvl>
  </w:abstractNum>
  <w:abstractNum w:abstractNumId="4">
    <w:nsid w:val="42C296BD"/>
    <w:multiLevelType w:val="hybridMultilevel"/>
    <w:lvl w:ilvl="0">
      <w:lvlJc w:val="left"/>
      <w:lvlText w:val="(%1)"/>
      <w:numFmt w:val="lowerRoman"/>
      <w:start w:val="1"/>
    </w:lvl>
  </w:abstractNum>
  <w:abstractNum w:abstractNumId="5">
    <w:nsid w:val="168E121F"/>
    <w:multiLevelType w:val="hybridMultilevel"/>
    <w:lvl w:ilvl="0">
      <w:lvlJc w:val="left"/>
      <w:lvlText w:val="(%1)"/>
      <w:numFmt w:val="lowerRoman"/>
      <w:start w:val="2"/>
    </w:lvl>
  </w:abstractNum>
  <w:abstractNum w:abstractNumId="6">
    <w:nsid w:val="1EBA5D23"/>
    <w:multiLevelType w:val="hybridMultilevel"/>
    <w:lvl w:ilvl="0">
      <w:lvlJc w:val="left"/>
      <w:lvlText w:val="(%1)"/>
      <w:numFmt w:val="lowerRoman"/>
      <w:start w:val="2"/>
    </w:lvl>
  </w:abstractNum>
  <w:abstractNum w:abstractNumId="7">
    <w:nsid w:val="661E3F1E"/>
    <w:multiLevelType w:val="hybridMultilevel"/>
    <w:lvl w:ilvl="0">
      <w:lvlJc w:val="left"/>
      <w:lvlText w:val="(%1)"/>
      <w:numFmt w:val="lowerRoman"/>
      <w:start w:val="1"/>
    </w:lvl>
  </w:abstractNum>
  <w:abstractNum w:abstractNumId="8">
    <w:nsid w:val="5DC79EA8"/>
    <w:multiLevelType w:val="hybridMultilevel"/>
    <w:lvl w:ilvl="0">
      <w:lvlJc w:val="left"/>
      <w:lvlText w:val="(%1)"/>
      <w:numFmt w:val="lowerRoman"/>
      <w:start w:val="2"/>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1)"/>
      <w:numFmt w:val="lowerLetter"/>
      <w:start w:val="1"/>
    </w:lvl>
  </w:abstractNum>
  <w:abstractNum w:abstractNumId="12">
    <w:nsid w:val="613EFDC5"/>
    <w:multiLevelType w:val="hybridMultilevel"/>
    <w:lvl w:ilvl="0">
      <w:lvlJc w:val="left"/>
      <w:lvlText w:val="(%1)"/>
      <w:numFmt w:val="lowerLetter"/>
      <w:start w:val="1"/>
    </w:lvl>
  </w:abstractNum>
  <w:abstractNum w:abstractNumId="13">
    <w:nsid w:val="BF72B14"/>
    <w:multiLevelType w:val="hybridMultilevel"/>
    <w:lvl w:ilvl="0">
      <w:lvlJc w:val="left"/>
      <w:lvlText w:val="(%1)"/>
      <w:numFmt w:val="lowerLetter"/>
      <w:start w:val="1"/>
    </w:lvl>
  </w:abstractNum>
  <w:abstractNum w:abstractNumId="14">
    <w:nsid w:val="11447B73"/>
    <w:multiLevelType w:val="hybridMultilevel"/>
    <w:lvl w:ilvl="0">
      <w:lvlJc w:val="left"/>
      <w:lvlText w:val="(%1)"/>
      <w:numFmt w:val="lowerLetter"/>
      <w:start w:val="2"/>
    </w:lvl>
  </w:abstractNum>
  <w:abstractNum w:abstractNumId="15">
    <w:nsid w:val="42963E5A"/>
    <w:multiLevelType w:val="hybridMultilevel"/>
    <w:lvl w:ilvl="0">
      <w:lvlJc w:val="left"/>
      <w:lvlText w:val="(%1)"/>
      <w:numFmt w:val="lowerLetter"/>
      <w:start w:val="5"/>
    </w:lvl>
  </w:abstractNum>
  <w:abstractNum w:abstractNumId="16">
    <w:nsid w:val="A0382C5"/>
    <w:multiLevelType w:val="hybridMultilevel"/>
    <w:lvl w:ilvl="0">
      <w:lvlJc w:val="left"/>
      <w:lvlText w:val="(%1)"/>
      <w:numFmt w:val="lowerLetter"/>
      <w:start w:val="9"/>
    </w:lvl>
  </w:abstractNum>
  <w:abstractNum w:abstractNumId="17">
    <w:nsid w:val="8F2B15E"/>
    <w:multiLevelType w:val="hybridMultilevel"/>
    <w:lvl w:ilvl="0">
      <w:lvlJc w:val="left"/>
      <w:lvlText w:val="(%1)"/>
      <w:numFmt w:val="lowerLetter"/>
      <w:start w:val="1"/>
    </w:lvl>
  </w:abstractNum>
  <w:abstractNum w:abstractNumId="18">
    <w:nsid w:val="1A32234B"/>
    <w:multiLevelType w:val="hybridMultilevel"/>
    <w:lvl w:ilvl="0">
      <w:lvlJc w:val="left"/>
      <w:lvlText w:val="(%1)"/>
      <w:numFmt w:val="lowerLetter"/>
      <w:start w:val="1"/>
    </w:lvl>
  </w:abstractNum>
  <w:abstractNum w:abstractNumId="19">
    <w:nsid w:val="3B0FD379"/>
    <w:multiLevelType w:val="hybridMultilevel"/>
    <w:lvl w:ilvl="0">
      <w:lvlJc w:val="left"/>
      <w:lvlText w:val="(%1)"/>
      <w:numFmt w:val="lowerLetter"/>
      <w:start w:val="3"/>
    </w:lvl>
  </w:abstractNum>
  <w:abstractNum w:abstractNumId="20">
    <w:nsid w:val="68EB2F63"/>
    <w:multiLevelType w:val="hybridMultilevel"/>
    <w:lvl w:ilvl="0">
      <w:lvlJc w:val="left"/>
      <w:lvlText w:val="(%1)"/>
      <w:numFmt w:val="lowerLetter"/>
      <w:start w:val="1"/>
    </w:lvl>
  </w:abstractNum>
  <w:abstractNum w:abstractNumId="21">
    <w:nsid w:val="4962813B"/>
    <w:multiLevelType w:val="hybridMultilevel"/>
    <w:lvl w:ilvl="0">
      <w:lvlJc w:val="left"/>
      <w:lvlText w:val="(%1)"/>
      <w:numFmt w:val="lowerLetter"/>
      <w:start w:val="2"/>
    </w:lvl>
  </w:abstractNum>
  <w:abstractNum w:abstractNumId="22">
    <w:nsid w:val="60B6DF70"/>
    <w:multiLevelType w:val="hybridMultilevel"/>
    <w:lvl w:ilvl="0">
      <w:lvlJc w:val="left"/>
      <w:lvlText w:val="(%1)"/>
      <w:numFmt w:val="lowerLetter"/>
      <w:start w:val="9"/>
    </w:lvl>
  </w:abstractNum>
  <w:abstractNum w:abstractNumId="23">
    <w:nsid w:val="6A5EE64"/>
    <w:multiLevelType w:val="hybridMultilevel"/>
    <w:lvl w:ilvl="0">
      <w:lvlJc w:val="left"/>
      <w:lvlText w:val="(%1)"/>
      <w:numFmt w:val="lowerLetter"/>
      <w:start w:val="18"/>
    </w:lvl>
  </w:abstractNum>
  <w:abstractNum w:abstractNumId="24">
    <w:nsid w:val="14330624"/>
    <w:multiLevelType w:val="hybridMultilevel"/>
    <w:lvl w:ilvl="0">
      <w:lvlJc w:val="left"/>
      <w:lvlText w:val="(%1)"/>
      <w:numFmt w:val="lowerLetter"/>
      <w:start w:val="27"/>
    </w:lvl>
  </w:abstractNum>
  <w:abstractNum w:abstractNumId="25">
    <w:nsid w:val="7FFFCA11"/>
    <w:multiLevelType w:val="hybridMultilevel"/>
    <w:lvl w:ilvl="0">
      <w:lvlJc w:val="left"/>
      <w:lvlText w:val="(%1)"/>
      <w:numFmt w:val="lowerLetter"/>
      <w:start w:val="1"/>
    </w:lvl>
  </w:abstractNum>
  <w:abstractNum w:abstractNumId="26">
    <w:nsid w:val="1A27709E"/>
    <w:multiLevelType w:val="hybridMultilevel"/>
    <w:lvl w:ilvl="0">
      <w:lvlJc w:val="left"/>
      <w:lvlText w:val="(%1)"/>
      <w:numFmt w:val="lowerRoman"/>
      <w:start w:val="3"/>
    </w:lvl>
  </w:abstractNum>
  <w:abstractNum w:abstractNumId="27">
    <w:nsid w:val="71EA1109"/>
    <w:multiLevelType w:val="hybridMultilevel"/>
    <w:lvl w:ilvl="0">
      <w:lvlJc w:val="left"/>
      <w:lvlText w:val="(%1)"/>
      <w:numFmt w:val="lowerLetter"/>
      <w:start w:val="8"/>
    </w:lvl>
  </w:abstractNum>
  <w:abstractNum w:abstractNumId="28">
    <w:nsid w:val="100F59DC"/>
    <w:multiLevelType w:val="hybridMultilevel"/>
    <w:lvl w:ilvl="0">
      <w:lvlJc w:val="left"/>
      <w:lvlText w:val="(%1)"/>
      <w:numFmt w:val="lowerLetter"/>
      <w:start w:val="10"/>
    </w:lvl>
  </w:abstractNum>
  <w:abstractNum w:abstractNumId="29">
    <w:nsid w:val="7FB7E0AA"/>
    <w:multiLevelType w:val="hybridMultilevel"/>
    <w:lvl w:ilvl="0">
      <w:lvlJc w:val="left"/>
      <w:lvlText w:val="(%1)"/>
      <w:numFmt w:val="lowerLetter"/>
      <w:start w:val="1"/>
    </w:lvl>
  </w:abstractNum>
  <w:abstractNum w:abstractNumId="30">
    <w:nsid w:val="6EB5BD4"/>
    <w:multiLevelType w:val="hybridMultilevel"/>
    <w:lvl w:ilvl="0">
      <w:lvlJc w:val="left"/>
      <w:lvlText w:val="(%1)"/>
      <w:numFmt w:val="lowerLetter"/>
      <w:start w:val="1"/>
    </w:lvl>
  </w:abstractNum>
  <w:abstractNum w:abstractNumId="31">
    <w:nsid w:val="6F6DD9AC"/>
    <w:multiLevelType w:val="hybridMultilevel"/>
    <w:lvl w:ilvl="0">
      <w:lvlJc w:val="left"/>
      <w:lvlText w:val="(%1)"/>
      <w:numFmt w:val="lowerLetter"/>
      <w:start w:val="1"/>
    </w:lvl>
    <w:lvl w:ilvl="1">
      <w:lvlJc w:val="left"/>
      <w:lvlText w:val="(%2)"/>
      <w:numFmt w:val="lowerRoman"/>
      <w:start w:val="1"/>
    </w:lvl>
  </w:abstractNum>
  <w:abstractNum w:abstractNumId="32">
    <w:nsid w:val="94211F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3">
    <w:nsid w:val="885E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4">
    <w:nsid w:val="76272110"/>
    <w:multiLevelType w:val="hybridMultilevel"/>
    <w:lvl w:ilvl="0">
      <w:lvlJc w:val="left"/>
      <w:lvlText w:val="(%1)"/>
      <w:numFmt w:val="lowerRoman"/>
      <w:start w:val="2"/>
    </w:lvl>
    <w:lvl w:ilvl="1">
      <w:lvlJc w:val="left"/>
      <w:lvlText w:val="(%2)"/>
      <w:numFmt w:val="upperLetter"/>
      <w:start w:val="1"/>
    </w:lvl>
  </w:abstractNum>
  <w:abstractNum w:abstractNumId="35">
    <w:nsid w:val="4C04A8AF"/>
    <w:multiLevelType w:val="hybridMultilevel"/>
    <w:lvl w:ilvl="0">
      <w:lvlJc w:val="left"/>
      <w:lvlText w:val="%1"/>
      <w:numFmt w:val="lowerRoman"/>
      <w:start w:val="1"/>
    </w:lvl>
    <w:lvl w:ilvl="1">
      <w:lvlJc w:val="left"/>
      <w:lvlText w:val="(%2)"/>
      <w:numFmt w:val="upperLetter"/>
      <w:start w:val="2"/>
    </w:lvl>
  </w:abstractNum>
  <w:abstractNum w:abstractNumId="36">
    <w:nsid w:val="1716703B"/>
    <w:multiLevelType w:val="hybridMultilevel"/>
    <w:lvl w:ilvl="0">
      <w:lvlJc w:val="left"/>
      <w:lvlText w:val="(%1)"/>
      <w:numFmt w:val="lowerRoman"/>
      <w:start w:val="3"/>
    </w:lvl>
    <w:lvl w:ilvl="1">
      <w:lvlJc w:val="left"/>
      <w:lvlText w:val="(%2)"/>
      <w:numFmt w:val="upperLetter"/>
      <w:start w:val="1"/>
    </w:lvl>
  </w:abstractNum>
  <w:abstractNum w:abstractNumId="37">
    <w:nsid w:val="14E17E33"/>
    <w:multiLevelType w:val="hybridMultilevel"/>
    <w:lvl w:ilvl="0">
      <w:lvlJc w:val="left"/>
      <w:lvlText w:val="%1"/>
      <w:numFmt w:val="lowerLetter"/>
      <w:start w:val="1"/>
    </w:lvl>
    <w:lvl w:ilvl="1">
      <w:lvlJc w:val="left"/>
      <w:lvlText w:val="(%2)"/>
      <w:numFmt w:val="lowerLetter"/>
      <w:start w:val="22"/>
    </w:lvl>
  </w:abstractNum>
  <w:abstractNum w:abstractNumId="38">
    <w:nsid w:val="3222E7CD"/>
    <w:multiLevelType w:val="hybridMultilevel"/>
    <w:lvl w:ilvl="0">
      <w:lvlJc w:val="left"/>
      <w:lvlText w:val="(%1)"/>
      <w:numFmt w:val="lowerLetter"/>
      <w:start w:val="4"/>
    </w:lvl>
    <w:lvl w:ilvl="1">
      <w:lvlJc w:val="left"/>
      <w:lvlText w:val="%2"/>
      <w:numFmt w:val="lowerLetter"/>
      <w:start w:val="1"/>
    </w:lvl>
  </w:abstractNum>
  <w:abstractNum w:abstractNumId="39">
    <w:nsid w:val="74DE0EE3"/>
    <w:multiLevelType w:val="hybridMultilevel"/>
    <w:lvl w:ilvl="0">
      <w:lvlJc w:val="left"/>
      <w:lvlText w:val="(%1)"/>
      <w:numFmt w:val="lowerLetter"/>
      <w:start w:val="9"/>
    </w:lvl>
  </w:abstractNum>
  <w:abstractNum w:abstractNumId="40">
    <w:nsid w:val="68EBC550"/>
    <w:multiLevelType w:val="hybridMultilevel"/>
    <w:lvl w:ilvl="0">
      <w:lvlJc w:val="left"/>
      <w:lvlText w:val="(%1)"/>
      <w:numFmt w:val="lowerLetter"/>
      <w:start w:val="1"/>
    </w:lvl>
  </w:abstractNum>
  <w:abstractNum w:abstractNumId="41">
    <w:nsid w:val="2DF6D648"/>
    <w:multiLevelType w:val="hybridMultilevel"/>
    <w:lvl w:ilvl="0">
      <w:lvlJc w:val="left"/>
      <w:lvlText w:val="(%1)"/>
      <w:numFmt w:val="lowerLetter"/>
      <w:start w:val="2"/>
    </w:lvl>
  </w:abstractNum>
  <w:abstractNum w:abstractNumId="42">
    <w:nsid w:val="46B7D447"/>
    <w:multiLevelType w:val="hybridMultilevel"/>
    <w:lvl w:ilvl="0">
      <w:lvlJc w:val="left"/>
      <w:lvlText w:val="(%1)"/>
      <w:numFmt w:val="lowerLetter"/>
      <w:start w:val="1"/>
    </w:lvl>
    <w:lvl w:ilvl="1">
      <w:lvlJc w:val="left"/>
      <w:lvlText w:val="(%2)"/>
      <w:numFmt w:val="lowerLetter"/>
      <w:start w:val="9"/>
    </w:lvl>
  </w:abstractNum>
  <w:abstractNum w:abstractNumId="43">
    <w:nsid w:val="4A2AC315"/>
    <w:multiLevelType w:val="hybridMultilevel"/>
    <w:lvl w:ilvl="0">
      <w:lvlJc w:val="left"/>
      <w:lvlText w:val="%1"/>
      <w:numFmt w:val="lowerLetter"/>
      <w:start w:val="1"/>
    </w:lvl>
    <w:lvl w:ilvl="1">
      <w:lvlJc w:val="left"/>
      <w:lvlText w:val="(%2)"/>
      <w:numFmt w:val="lowerLetter"/>
      <w:start w:val="35"/>
    </w:lvl>
  </w:abstractNum>
  <w:abstractNum w:abstractNumId="44">
    <w:nsid w:val="39EE015C"/>
    <w:multiLevelType w:val="hybridMultilevel"/>
    <w:lvl w:ilvl="0">
      <w:lvlJc w:val="left"/>
      <w:lvlText w:val="(%1)"/>
      <w:numFmt w:val="lowerLetter"/>
      <w:start w:val="3"/>
    </w:lvl>
    <w:lvl w:ilvl="1">
      <w:lvlJc w:val="left"/>
      <w:lvlText w:val="%2"/>
      <w:numFmt w:val="lowerLetter"/>
      <w:start w:val="1"/>
    </w:lvl>
  </w:abstractNum>
  <w:abstractNum w:abstractNumId="45">
    <w:nsid w:val="57FC4FBB"/>
    <w:multiLevelType w:val="hybridMultilevel"/>
    <w:lvl w:ilvl="0">
      <w:lvlJc w:val="left"/>
      <w:lvlText w:val="(%1)"/>
      <w:numFmt w:val="lowerLetter"/>
      <w:start w:val="1"/>
    </w:lvl>
  </w:abstractNum>
  <w:abstractNum w:abstractNumId="46">
    <w:nsid w:val="CC1016F"/>
    <w:multiLevelType w:val="hybridMultilevel"/>
    <w:lvl w:ilvl="0">
      <w:lvlJc w:val="left"/>
      <w:lvlText w:val="(%1)"/>
      <w:numFmt w:val="lowerLetter"/>
      <w:start w:val="1"/>
    </w:lvl>
  </w:abstractNum>
  <w:abstractNum w:abstractNumId="47">
    <w:nsid w:val="43F18422"/>
    <w:multiLevelType w:val="hybridMultilevel"/>
    <w:lvl w:ilvl="0">
      <w:lvlJc w:val="left"/>
      <w:lvlText w:val="(%1)"/>
      <w:numFmt w:val="lowerLetter"/>
      <w:start w:val="1"/>
    </w:lvl>
    <w:lvl w:ilvl="1">
      <w:lvlJc w:val="left"/>
      <w:lvlText w:val="(%2)"/>
      <w:numFmt w:val="lowerRoman"/>
      <w:start w:val="1"/>
    </w:lvl>
  </w:abstractNum>
  <w:abstractNum w:abstractNumId="48">
    <w:nsid w:val="60EF0119"/>
    <w:multiLevelType w:val="hybridMultilevel"/>
    <w:lvl w:ilvl="0">
      <w:lvlJc w:val="left"/>
      <w:lvlText w:val="(%1)"/>
      <w:numFmt w:val="lowerLetter"/>
      <w:start w:val="1"/>
    </w:lvl>
  </w:abstractNum>
  <w:abstractNum w:abstractNumId="49">
    <w:nsid w:val="26F324BA"/>
    <w:multiLevelType w:val="hybridMultilevel"/>
    <w:lvl w:ilvl="0">
      <w:lvlJc w:val="left"/>
      <w:lvlText w:val="(%1)"/>
      <w:numFmt w:val="lowerLetter"/>
      <w:start w:val="1"/>
    </w:lvl>
  </w:abstractNum>
  <w:abstractNum w:abstractNumId="50">
    <w:nsid w:val="7F01579B"/>
    <w:multiLevelType w:val="hybridMultilevel"/>
    <w:lvl w:ilvl="0">
      <w:lvlJc w:val="left"/>
      <w:lvlText w:val="(%1)"/>
      <w:numFmt w:val="lowerLetter"/>
      <w:start w:val="2"/>
    </w:lvl>
  </w:abstractNum>
  <w:abstractNum w:abstractNumId="51">
    <w:nsid w:val="49DA307D"/>
    <w:multiLevelType w:val="hybridMultilevel"/>
    <w:lvl w:ilvl="0">
      <w:lvlJc w:val="left"/>
      <w:lvlText w:val="(%1)"/>
      <w:numFmt w:val="lowerLetter"/>
      <w:start w:val="1"/>
    </w:lvl>
  </w:abstractNum>
  <w:abstractNum w:abstractNumId="52">
    <w:nsid w:val="7055A5F5"/>
    <w:multiLevelType w:val="hybridMultilevel"/>
    <w:lvl w:ilvl="0">
      <w:lvlJc w:val="left"/>
      <w:lvlText w:val="(%1)"/>
      <w:numFmt w:val="lowerLetter"/>
      <w:start w:val="1"/>
    </w:lvl>
  </w:abstractNum>
  <w:abstractNum w:abstractNumId="53">
    <w:nsid w:val="5FB8370B"/>
    <w:multiLevelType w:val="hybridMultilevel"/>
    <w:lvl w:ilvl="0">
      <w:lvlJc w:val="left"/>
      <w:lvlText w:val="(%1)"/>
      <w:numFmt w:val="lowerLetter"/>
      <w:start w:val="3"/>
    </w:lvl>
    <w:lvl w:ilvl="1">
      <w:lvlJc w:val="left"/>
      <w:lvlText w:val="(%2)"/>
      <w:numFmt w:val="lowerRoman"/>
      <w:start w:val="1"/>
    </w:lvl>
  </w:abstractNum>
  <w:abstractNum w:abstractNumId="54">
    <w:nsid w:val="50801EE1"/>
    <w:multiLevelType w:val="hybridMultilevel"/>
    <w:lvl w:ilvl="0">
      <w:lvlJc w:val="left"/>
      <w:lvlText w:val="(%1)"/>
      <w:numFmt w:val="lowerLetter"/>
      <w:start w:val="1"/>
    </w:lvl>
  </w:abstractNum>
  <w:abstractNum w:abstractNumId="55">
    <w:nsid w:val="488AC1A"/>
    <w:multiLevelType w:val="hybridMultilevel"/>
    <w:lvl w:ilvl="0">
      <w:lvlJc w:val="left"/>
      <w:lvlText w:val="(%1)"/>
      <w:numFmt w:val="lowerLetter"/>
      <w:start w:val="35"/>
    </w:lvl>
    <w:lvl w:ilvl="1">
      <w:lvlJc w:val="left"/>
      <w:lvlText w:val="(%2)"/>
      <w:numFmt w:val="lowerLetter"/>
      <w:start w:val="2"/>
    </w:lvl>
  </w:abstractNum>
  <w:abstractNum w:abstractNumId="56">
    <w:nsid w:val="5FB8011C"/>
    <w:multiLevelType w:val="hybridMultilevel"/>
    <w:lvl w:ilvl="0">
      <w:lvlJc w:val="left"/>
      <w:lvlText w:val="(%1)"/>
      <w:numFmt w:val="lowerLetter"/>
      <w:start w:val="1"/>
    </w:lvl>
  </w:abstractNum>
  <w:abstractNum w:abstractNumId="57">
    <w:nsid w:val="6AA78F7F"/>
    <w:multiLevelType w:val="hybridMultilevel"/>
    <w:lvl w:ilvl="0">
      <w:lvlJc w:val="left"/>
      <w:lvlText w:val="(%1)"/>
      <w:numFmt w:val="lowerLetter"/>
      <w:start w:val="5"/>
    </w:lvl>
  </w:abstractNum>
  <w:abstractNum w:abstractNumId="58">
    <w:nsid w:val="7672BD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
    <w:nsid w:val="6FC75AF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60">
    <w:nsid w:val="6A5F702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1">
    <w:nsid w:val="7D5E18F8"/>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62">
    <w:nsid w:val="5F3534A4"/>
    <w:multiLevelType w:val="hybridMultilevel"/>
    <w:lvl w:ilvl="0">
      <w:lvlJc w:val="left"/>
      <w:lvlText w:val="(%1)"/>
      <w:numFmt w:val="lowerLetter"/>
      <w:start w:val="1"/>
    </w:lvl>
  </w:abstractNum>
  <w:abstractNum w:abstractNumId="63">
    <w:nsid w:val="73A1821B"/>
    <w:multiLevelType w:val="hybridMultilevel"/>
    <w:lvl w:ilvl="0">
      <w:lvlJc w:val="left"/>
      <w:lvlText w:val="(%1)"/>
      <w:numFmt w:val="lowerLetter"/>
      <w:start w:val="1"/>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4"/>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1)"/>
      <w:numFmt w:val="lowerLetter"/>
      <w:start w:val="3"/>
    </w:lvl>
  </w:abstractNum>
  <w:abstractNum w:abstractNumId="68">
    <w:nsid w:val="6A3DD3E8"/>
    <w:multiLevelType w:val="hybridMultilevel"/>
    <w:lvl w:ilvl="0">
      <w:lvlJc w:val="left"/>
      <w:lvlText w:val="(%1)"/>
      <w:numFmt w:val="lowerLetter"/>
      <w:start w:val="1"/>
    </w:lvl>
  </w:abstractNum>
  <w:abstractNum w:abstractNumId="69">
    <w:nsid w:val="71C91298"/>
    <w:multiLevelType w:val="hybridMultilevel"/>
    <w:lvl w:ilvl="0">
      <w:lvlJc w:val="left"/>
      <w:lvlText w:val="(%1)"/>
      <w:numFmt w:val="lowerLetter"/>
      <w:start w:val="3"/>
    </w:lvl>
  </w:abstractNum>
  <w:abstractNum w:abstractNumId="70">
    <w:nsid w:val="9DAF632"/>
    <w:multiLevelType w:val="hybridMultilevel"/>
    <w:lvl w:ilvl="0">
      <w:lvlJc w:val="left"/>
      <w:lvlText w:val="(%1)"/>
      <w:numFmt w:val="lowerLetter"/>
      <w:start w:val="1"/>
    </w:lvl>
  </w:abstractNum>
  <w:abstractNum w:abstractNumId="71">
    <w:nsid w:val="53299938"/>
    <w:multiLevelType w:val="hybridMultilevel"/>
    <w:lvl w:ilvl="0">
      <w:lvlJc w:val="left"/>
      <w:lvlText w:val="(%1)"/>
      <w:numFmt w:val="lowerLetter"/>
      <w:start w:val="2"/>
    </w:lvl>
  </w:abstractNum>
  <w:abstractNum w:abstractNumId="72">
    <w:nsid w:val="1FBFE8E0"/>
    <w:multiLevelType w:val="hybridMultilevel"/>
    <w:lvl w:ilvl="0">
      <w:lvlJc w:val="left"/>
      <w:lvlText w:val="(%1)"/>
      <w:numFmt w:val="lowerLetter"/>
      <w:start w:val="1"/>
    </w:lvl>
  </w:abstractNum>
  <w:abstractNum w:abstractNumId="73">
    <w:nsid w:val="5092CA79"/>
    <w:multiLevelType w:val="hybridMultilevel"/>
    <w:lvl w:ilvl="0">
      <w:lvlJc w:val="left"/>
      <w:lvlText w:val="(%1)"/>
      <w:numFmt w:val="lowerLetter"/>
      <w:start w:val="2"/>
    </w:lvl>
  </w:abstractNum>
  <w:abstractNum w:abstractNumId="74">
    <w:nsid w:val="1D545C4D"/>
    <w:multiLevelType w:val="hybridMultilevel"/>
    <w:lvl w:ilvl="0">
      <w:lvlJc w:val="left"/>
      <w:lvlText w:val="(%1)"/>
      <w:numFmt w:val="lowerLetter"/>
      <w:start w:val="8"/>
    </w:lvl>
  </w:abstractNum>
  <w:abstractNum w:abstractNumId="75">
    <w:nsid w:val="59ADEA3D"/>
    <w:multiLevelType w:val="hybridMultilevel"/>
    <w:lvl w:ilvl="0">
      <w:lvlJc w:val="left"/>
      <w:lvlText w:val="(%1)"/>
      <w:numFmt w:val="lowerLetter"/>
      <w:start w:val="1"/>
    </w:lvl>
  </w:abstractNum>
  <w:abstractNum w:abstractNumId="76">
    <w:nsid w:val="288F1A3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7">
    <w:nsid w:val="2A155DBC"/>
    <w:multiLevelType w:val="hybridMultilevel"/>
    <w:lvl w:ilvl="0">
      <w:lvlJc w:val="left"/>
      <w:lvlText w:val="(%1)"/>
      <w:numFmt w:val="lowerLetter"/>
      <w:start w:val="4"/>
    </w:lvl>
  </w:abstractNum>
  <w:abstractNum w:abstractNumId="78">
    <w:nsid w:val="1D9F6E5F"/>
    <w:multiLevelType w:val="hybridMultilevel"/>
    <w:lvl w:ilvl="0">
      <w:lvlJc w:val="left"/>
      <w:lvlText w:val="(%1)"/>
      <w:numFmt w:val="lowerLetter"/>
      <w:start w:val="1"/>
    </w:lvl>
  </w:abstractNum>
  <w:abstractNum w:abstractNumId="79">
    <w:nsid w:val="97E1B4E"/>
    <w:multiLevelType w:val="hybridMultilevel"/>
    <w:lvl w:ilvl="0">
      <w:lvlJc w:val="left"/>
      <w:lvlText w:val="(%1)"/>
      <w:numFmt w:val="decimal"/>
      <w:start w:val="1"/>
    </w:lvl>
  </w:abstractNum>
  <w:abstractNum w:abstractNumId="80">
    <w:nsid w:val="51088277"/>
    <w:multiLevelType w:val="hybridMultilevel"/>
    <w:lvl w:ilvl="0">
      <w:lvlJc w:val="left"/>
      <w:lvlText w:val="(%1)"/>
      <w:numFmt w:val="lowerLetter"/>
      <w:start w:val="1"/>
    </w:lvl>
  </w:abstractNum>
  <w:abstractNum w:abstractNumId="81">
    <w:nsid w:val="1CA0C5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2">
    <w:nsid w:val="53584BCB"/>
    <w:multiLevelType w:val="hybridMultilevel"/>
    <w:lvl w:ilvl="0">
      <w:lvlJc w:val="left"/>
      <w:lvlText w:val="(%1)"/>
      <w:numFmt w:val="lowerLetter"/>
      <w:start w:val="3"/>
    </w:lvl>
  </w:abstractNum>
  <w:abstractNum w:abstractNumId="83">
    <w:nsid w:val="415E286C"/>
    <w:multiLevelType w:val="hybridMultilevel"/>
    <w:lvl w:ilvl="0">
      <w:lvlJc w:val="left"/>
      <w:lvlText w:val="(%1)"/>
      <w:numFmt w:val="lowerRoman"/>
      <w:start w:val="10"/>
    </w:lvl>
  </w:abstractNum>
  <w:abstractNum w:abstractNumId="84">
    <w:nsid w:val="7C58FD05"/>
    <w:multiLevelType w:val="hybridMultilevel"/>
    <w:lvl w:ilvl="0">
      <w:lvlJc w:val="left"/>
      <w:lvlText w:val="(%1)"/>
      <w:numFmt w:val="lowerLetter"/>
      <w:start w:val="1"/>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1"/>
    </w:lvl>
  </w:abstractNum>
  <w:abstractNum w:abstractNumId="87">
    <w:nsid w:val="5C10FE21"/>
    <w:multiLevelType w:val="hybridMultilevel"/>
    <w:lvl w:ilvl="0">
      <w:lvlJc w:val="left"/>
      <w:lvlText w:val="(%1)"/>
      <w:numFmt w:val="lowerLetter"/>
      <w:start w:val="8"/>
    </w:lvl>
  </w:abstractNum>
  <w:abstractNum w:abstractNumId="88">
    <w:nsid w:val="E7FFA2B"/>
    <w:multiLevelType w:val="hybridMultilevel"/>
    <w:lvl w:ilvl="0">
      <w:lvlJc w:val="left"/>
      <w:lvlText w:val="(%1)"/>
      <w:numFmt w:val="lowerLetter"/>
      <w:start w:val="1"/>
    </w:lvl>
    <w:lvl w:ilvl="1">
      <w:lvlJc w:val="left"/>
      <w:lvlText w:val="(%2)"/>
      <w:numFmt w:val="lowerRoman"/>
      <w:start w:val="1"/>
    </w:lvl>
  </w:abstractNum>
  <w:abstractNum w:abstractNumId="89">
    <w:nsid w:val="3C5991AA"/>
    <w:multiLevelType w:val="hybridMultilevel"/>
    <w:lvl w:ilvl="0">
      <w:lvlJc w:val="left"/>
      <w:lvlText w:val="(%1)"/>
      <w:numFmt w:val="lowerLetter"/>
      <w:start w:val="3"/>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1)"/>
      <w:numFmt w:val="lowerLetter"/>
      <w:start w:val="3"/>
    </w:lvl>
  </w:abstractNum>
  <w:abstractNum w:abstractNumId="92">
    <w:nsid w:val="39B7AAA2"/>
    <w:multiLevelType w:val="hybridMultilevel"/>
    <w:lvl w:ilvl="0">
      <w:lvlJc w:val="left"/>
      <w:lvlText w:val="(%1)"/>
      <w:numFmt w:val="lowerLetter"/>
      <w:start w:val="1"/>
    </w:lvl>
  </w:abstractNum>
  <w:abstractNum w:abstractNumId="93">
    <w:nsid w:val="2B0D8DBE"/>
    <w:multiLevelType w:val="hybridMultilevel"/>
    <w:lvl w:ilvl="0">
      <w:lvlJc w:val="left"/>
      <w:lvlText w:val="(%1)"/>
      <w:numFmt w:val="lowerLetter"/>
      <w:start w:val="1"/>
    </w:lvl>
  </w:abstractNum>
  <w:abstractNum w:abstractNumId="94">
    <w:nsid w:val="6C80EC70"/>
    <w:multiLevelType w:val="hybridMultilevel"/>
    <w:lvl w:ilvl="0">
      <w:lvlJc w:val="left"/>
      <w:lvlText w:val="(%1)"/>
      <w:numFmt w:val="lowerLetter"/>
      <w:start w:val="2"/>
    </w:lvl>
  </w:abstractNum>
  <w:abstractNum w:abstractNumId="95">
    <w:nsid w:val="379E21B5"/>
    <w:multiLevelType w:val="hybridMultilevel"/>
    <w:lvl w:ilvl="0">
      <w:lvlJc w:val="left"/>
      <w:lvlText w:val="(%1)"/>
      <w:numFmt w:val="lowerLetter"/>
      <w:start w:val="1"/>
    </w:lvl>
  </w:abstractNum>
  <w:abstractNum w:abstractNumId="96">
    <w:nsid w:val="69E373"/>
    <w:multiLevelType w:val="hybridMultilevel"/>
    <w:lvl w:ilvl="0">
      <w:lvlJc w:val="left"/>
      <w:lvlText w:val="(%1)"/>
      <w:numFmt w:val="lowerLetter"/>
      <w:start w:val="1"/>
    </w:lvl>
  </w:abstractNum>
  <w:abstractNum w:abstractNumId="97">
    <w:nsid w:val="2C27173B"/>
    <w:multiLevelType w:val="hybridMultilevel"/>
    <w:lvl w:ilvl="0">
      <w:lvlJc w:val="left"/>
      <w:lvlText w:val="(%1)"/>
      <w:numFmt w:val="lowerLetter"/>
      <w:start w:val="1"/>
    </w:lvl>
  </w:abstractNum>
  <w:abstractNum w:abstractNumId="98">
    <w:nsid w:val="4C9B0904"/>
    <w:multiLevelType w:val="hybridMultilevel"/>
    <w:lvl w:ilvl="0">
      <w:lvlJc w:val="left"/>
      <w:lvlText w:val="(%1)"/>
      <w:numFmt w:val="lowerLetter"/>
      <w:start w:val="2"/>
    </w:lvl>
  </w:abstractNum>
  <w:abstractNum w:abstractNumId="99">
    <w:nsid w:val="6AA7B75C"/>
    <w:multiLevelType w:val="hybridMultilevel"/>
    <w:lvl w:ilvl="0">
      <w:lvlJc w:val="left"/>
      <w:lvlText w:val="(%1)"/>
      <w:numFmt w:val="lowerRoman"/>
      <w:start w:val="3"/>
    </w:lvl>
  </w:abstractNum>
  <w:abstractNum w:abstractNumId="100">
    <w:nsid w:val="1DF029D3"/>
    <w:multiLevelType w:val="hybridMultilevel"/>
    <w:lvl w:ilvl="0">
      <w:lvlJc w:val="left"/>
      <w:lvlText w:val="(%1)"/>
      <w:numFmt w:val="lowerRoman"/>
      <w:start w:val="2"/>
    </w:lvl>
  </w:abstractNum>
  <w:abstractNum w:abstractNumId="101">
    <w:nsid w:val="5675FF36"/>
    <w:multiLevelType w:val="hybridMultilevel"/>
    <w:lvl w:ilvl="0">
      <w:lvlJc w:val="left"/>
      <w:lvlText w:val="(%1)"/>
      <w:numFmt w:val="decimal"/>
      <w:start w:val="1"/>
    </w:lvl>
  </w:abstractNum>
  <w:abstractNum w:abstractNumId="102">
    <w:nsid w:val="3DD15094"/>
    <w:multiLevelType w:val="hybridMultilevel"/>
    <w:lvl w:ilvl="0">
      <w:lvlJc w:val="left"/>
      <w:lvlText w:val="(%1)"/>
      <w:numFmt w:val="decimal"/>
      <w:start w:val="1"/>
    </w:lvl>
  </w:abstractNum>
  <w:abstractNum w:abstractNumId="103">
    <w:nsid w:val="3DB012B3"/>
    <w:multiLevelType w:val="hybridMultilevel"/>
    <w:lvl w:ilvl="0">
      <w:lvlJc w:val="left"/>
      <w:lvlText w:val="(%1)"/>
      <w:numFmt w:val="decimal"/>
      <w:start w:val="6"/>
    </w:lvl>
  </w:abstractNum>
  <w:abstractNum w:abstractNumId="104">
    <w:nsid w:val="2708C9AF"/>
    <w:multiLevelType w:val="hybridMultilevel"/>
    <w:lvl w:ilvl="0">
      <w:lvlJc w:val="left"/>
      <w:lvlText w:val="(%1)"/>
      <w:numFmt w:val="decimal"/>
      <w:start w:val="8"/>
    </w:lvl>
  </w:abstractNum>
  <w:abstractNum w:abstractNumId="105">
    <w:nsid w:val="5B25ACE2"/>
    <w:multiLevelType w:val="hybridMultilevel"/>
    <w:lvl w:ilvl="0">
      <w:lvlJc w:val="left"/>
      <w:lvlText w:val="(%1)"/>
      <w:numFmt w:val="decimal"/>
      <w:start w:val="1"/>
    </w:lvl>
  </w:abstractNum>
  <w:abstractNum w:abstractNumId="106">
    <w:nsid w:val="175DFCF0"/>
    <w:multiLevelType w:val="hybridMultilevel"/>
    <w:lvl w:ilvl="0">
      <w:lvlJc w:val="left"/>
      <w:lvlText w:val="(%1)"/>
      <w:numFmt w:val="decimal"/>
      <w:start w:val="1"/>
    </w:lvl>
  </w:abstractNum>
  <w:abstractNum w:abstractNumId="107">
    <w:nsid w:val="4F97E3E4"/>
    <w:multiLevelType w:val="hybridMultilevel"/>
    <w:lvl w:ilvl="0">
      <w:lvlJc w:val="left"/>
      <w:lvlText w:val="(%1)"/>
      <w:numFmt w:val="upperLetter"/>
      <w:start w:val="1"/>
    </w:lvl>
  </w:abstractNum>
  <w:abstractNum w:abstractNumId="108">
    <w:nsid w:val="53B0A9E"/>
    <w:multiLevelType w:val="hybridMultilevel"/>
    <w:lvl w:ilvl="0">
      <w:lvlJc w:val="left"/>
      <w:lvlText w:val="(%1)"/>
      <w:numFmt w:val="decimal"/>
      <w:start w:val="1"/>
    </w:lvl>
  </w:abstractNum>
  <w:abstractNum w:abstractNumId="109">
    <w:nsid w:val="34FD6B4F"/>
    <w:multiLevelType w:val="hybridMultilevel"/>
    <w:lvl w:ilvl="0">
      <w:lvlJc w:val="left"/>
      <w:lvlText w:val="(%1)"/>
      <w:numFmt w:val="decimal"/>
      <w:start w:val="2"/>
    </w:lvl>
  </w:abstractNum>
  <w:abstractNum w:abstractNumId="110">
    <w:nsid w:val="5915FF32"/>
    <w:multiLevelType w:val="hybridMultilevel"/>
    <w:lvl w:ilvl="0">
      <w:lvlJc w:val="left"/>
      <w:lvlText w:val="(%1)"/>
      <w:numFmt w:val="lowerRoman"/>
      <w:start w:val="2"/>
    </w:lvl>
  </w:abstractNum>
  <w:abstractNum w:abstractNumId="111">
    <w:nsid w:val="56438D15"/>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12">
    <w:nsid w:val="519E3149"/>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13">
    <w:nsid w:val="2C6E4AFD"/>
    <w:multiLevelType w:val="hybridMultilevel"/>
    <w:lvl w:ilvl="0">
      <w:lvlJc w:val="left"/>
      <w:lvlText w:val="(%1)"/>
      <w:numFmt w:val="decimal"/>
      <w:start w:val="1"/>
    </w:lvl>
  </w:abstractNum>
  <w:abstractNum w:abstractNumId="114">
    <w:nsid w:val="17A1B582"/>
    <w:multiLevelType w:val="hybridMultilevel"/>
    <w:lvl w:ilvl="0">
      <w:lvlJc w:val="left"/>
      <w:lvlText w:val="(%1)"/>
      <w:numFmt w:val="decimal"/>
      <w:start w:val="1"/>
    </w:lvl>
  </w:abstractNum>
  <w:abstractNum w:abstractNumId="115">
    <w:nsid w:val="4DF72E4E"/>
    <w:multiLevelType w:val="hybridMultilevel"/>
    <w:lvl w:ilvl="0">
      <w:lvlJc w:val="left"/>
      <w:lvlText w:val="(%1)"/>
      <w:numFmt w:val="decimal"/>
      <w:start w:val="1"/>
    </w:lvl>
  </w:abstractNum>
  <w:abstractNum w:abstractNumId="116">
    <w:nsid w:val="5046B5A9"/>
    <w:multiLevelType w:val="hybridMultilevel"/>
    <w:lvl w:ilvl="0">
      <w:lvlJc w:val="left"/>
      <w:lvlText w:val="(%1)"/>
      <w:numFmt w:val="decimal"/>
      <w:start w:val="1"/>
    </w:lvl>
  </w:abstractNum>
  <w:abstractNum w:abstractNumId="117">
    <w:nsid w:val="5D888A08"/>
    <w:multiLevelType w:val="hybridMultilevel"/>
    <w:lvl w:ilvl="0">
      <w:lvlJc w:val="left"/>
      <w:lvlText w:val="(%1)"/>
      <w:numFmt w:val="decimal"/>
      <w:start w:val="2"/>
    </w:lvl>
  </w:abstractNum>
  <w:abstractNum w:abstractNumId="118">
    <w:nsid w:val="2A082C70"/>
    <w:multiLevelType w:val="hybridMultilevel"/>
    <w:lvl w:ilvl="0">
      <w:lvlJc w:val="left"/>
      <w:lvlText w:val="(%1)"/>
      <w:numFmt w:val="decimal"/>
      <w:start w:val="6"/>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1)"/>
      <w:numFmt w:val="decimal"/>
      <w:start w:val="1"/>
    </w:lvl>
  </w:abstractNum>
  <w:abstractNum w:abstractNumId="121">
    <w:nsid w:val="75E0858A"/>
    <w:multiLevelType w:val="hybridMultilevel"/>
    <w:lvl w:ilvl="0">
      <w:lvlJc w:val="left"/>
      <w:lvlText w:val="(%1)"/>
      <w:numFmt w:val="decimal"/>
      <w:start w:val="1"/>
    </w:lvl>
  </w:abstractNum>
  <w:abstractNum w:abstractNumId="122">
    <w:nsid w:val="57A61A29"/>
    <w:multiLevelType w:val="hybridMultilevel"/>
    <w:lvl w:ilvl="0">
      <w:lvlJc w:val="left"/>
      <w:lvlText w:val="(%1)"/>
      <w:numFmt w:val="decimal"/>
      <w:start w:val="1"/>
    </w:lvl>
  </w:abstractNum>
  <w:abstractNum w:abstractNumId="123">
    <w:nsid w:val="5399C654"/>
    <w:multiLevelType w:val="hybridMultilevel"/>
    <w:lvl w:ilvl="0">
      <w:lvlJc w:val="left"/>
      <w:lvlText w:val="(%1)"/>
      <w:numFmt w:val="decimal"/>
      <w:start w:val="2"/>
    </w:lvl>
  </w:abstractNum>
  <w:abstractNum w:abstractNumId="124">
    <w:nsid w:val="20EE1348"/>
    <w:multiLevelType w:val="hybridMultilevel"/>
    <w:lvl w:ilvl="0">
      <w:lvlJc w:val="left"/>
      <w:lvlText w:val="(%1)"/>
      <w:numFmt w:val="decimal"/>
      <w:start w:val="1"/>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1)"/>
      <w:numFmt w:val="lowerRoman"/>
      <w:start w:val="1"/>
    </w:lvl>
  </w:abstractNum>
  <w:abstractNum w:abstractNumId="127">
    <w:nsid w:val="2157F6BC"/>
    <w:multiLevelType w:val="hybridMultilevel"/>
    <w:lvl w:ilvl="0">
      <w:lvlJc w:val="left"/>
      <w:lvlText w:val="%1."/>
      <w:numFmt w:val="decimal"/>
      <w:start w:val="1"/>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lowerLetter"/>
      <w:start w:val="3"/>
    </w:lvl>
  </w:abstractNum>
  <w:abstractNum w:abstractNumId="130">
    <w:nsid w:val="BFFAE18"/>
    <w:multiLevelType w:val="hybridMultilevel"/>
    <w:lvl w:ilvl="0">
      <w:lvlJc w:val="left"/>
      <w:lvlText w:val="(%1)"/>
      <w:numFmt w:val="lowerLetter"/>
      <w:start w:val="12"/>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1)"/>
      <w:numFmt w:val="lowerLetter"/>
      <w:start w:val="2"/>
    </w:lvl>
  </w:abstractNum>
  <w:abstractNum w:abstractNumId="133">
    <w:nsid w:val="49D0FEAC"/>
    <w:multiLevelType w:val="hybridMultilevel"/>
    <w:lvl w:ilvl="0">
      <w:lvlJc w:val="left"/>
      <w:lvlText w:val="(%1)"/>
      <w:numFmt w:val="lowerLetter"/>
      <w:start w:val="12"/>
    </w:lvl>
  </w:abstractNum>
  <w:abstractNum w:abstractNumId="134">
    <w:nsid w:val="4BEE5A5B"/>
    <w:multiLevelType w:val="hybridMultilevel"/>
    <w:lvl w:ilvl="0">
      <w:lvlJc w:val="left"/>
      <w:lvlText w:val="%1."/>
      <w:numFmt w:val="decimal"/>
      <w:start w:val="1"/>
    </w:lvl>
  </w:abstractNum>
  <w:abstractNum w:abstractNumId="135">
    <w:nsid w:val="5551B9F3"/>
    <w:multiLevelType w:val="hybridMultilevel"/>
    <w:lvl w:ilvl="0">
      <w:lvlJc w:val="left"/>
      <w:lvlText w:val="(%1)"/>
      <w:numFmt w:val="lowerLetter"/>
      <w:start w:val="1"/>
    </w:lvl>
  </w:abstractNum>
  <w:abstractNum w:abstractNumId="136">
    <w:nsid w:val="24F6AB8E"/>
    <w:multiLevelType w:val="hybridMultilevel"/>
    <w:lvl w:ilvl="0">
      <w:lvlJc w:val="left"/>
      <w:lvlText w:val="(%1)"/>
      <w:numFmt w:val="lowerLetter"/>
      <w:start w:val="9"/>
    </w:lvl>
  </w:abstractNum>
  <w:abstractNum w:abstractNumId="137">
    <w:nsid w:val="634C574C"/>
    <w:multiLevelType w:val="hybridMultilevel"/>
    <w:lvl w:ilvl="0">
      <w:lvlJc w:val="left"/>
      <w:lvlText w:val="(%1)"/>
      <w:numFmt w:val="lowerLetter"/>
      <w:start w:val="18"/>
    </w:lvl>
  </w:abstractNum>
  <w:abstractNum w:abstractNumId="138">
    <w:nsid w:val="24E99DD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2026-06-05T15:23:01Z</dcterms:created>
  <dcterms:modified xsi:type="dcterms:W3CDTF">2026-06-05T15:23:01Z</dcterms:modified>
</cp:coreProperties>
</file>