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11"/>
          <w:szCs w:val="11"/>
          <w:b w:val="1"/>
          <w:bCs w:val="1"/>
          <w:color w:val="auto"/>
        </w:rPr>
        <w:t>As filed with the Securities and Exchange Commission on June 1, 2026</w:t>
      </w:r>
    </w:p>
    <w:p>
      <w:pPr>
        <w:spacing w:after="0" w:line="5" w:lineRule="exact"/>
        <w:rPr>
          <w:sz w:val="24"/>
          <w:szCs w:val="24"/>
          <w:color w:val="auto"/>
        </w:rPr>
      </w:pPr>
    </w:p>
    <w:p>
      <w:pPr>
        <w:ind w:left="7480"/>
        <w:spacing w:after="0"/>
        <w:rPr>
          <w:sz w:val="20"/>
          <w:szCs w:val="20"/>
          <w:color w:val="auto"/>
        </w:rPr>
      </w:pPr>
      <w:r>
        <w:rPr>
          <w:rFonts w:ascii="Times New Roman" w:cs="Times New Roman" w:eastAsia="Times New Roman" w:hAnsi="Times New Roman"/>
          <w:sz w:val="11"/>
          <w:szCs w:val="11"/>
          <w:b w:val="1"/>
          <w:bCs w:val="1"/>
          <w:color w:val="auto"/>
        </w:rPr>
        <w:t xml:space="preserve">Registration No. 333-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103505</wp:posOffset>
            </wp:positionH>
            <wp:positionV relativeFrom="paragraph">
              <wp:posOffset>44450</wp:posOffset>
            </wp:positionV>
            <wp:extent cx="5513070" cy="6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513070" cy="6985"/>
                    </a:xfrm>
                    <a:prstGeom prst="rect">
                      <a:avLst/>
                    </a:prstGeom>
                    <a:noFill/>
                  </pic:spPr>
                </pic:pic>
              </a:graphicData>
            </a:graphic>
          </wp:anchor>
        </w:drawing>
        <w:drawing>
          <wp:anchor simplePos="0" relativeHeight="251657728" behindDoc="1" locked="0" layoutInCell="0" allowOverlap="1">
            <wp:simplePos x="0" y="0"/>
            <wp:positionH relativeFrom="column">
              <wp:posOffset>103505</wp:posOffset>
            </wp:positionH>
            <wp:positionV relativeFrom="paragraph">
              <wp:posOffset>78740</wp:posOffset>
            </wp:positionV>
            <wp:extent cx="5513070" cy="6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513070" cy="6985"/>
                    </a:xfrm>
                    <a:prstGeom prst="rect">
                      <a:avLst/>
                    </a:prstGeom>
                    <a:noFill/>
                  </pic:spPr>
                </pic:pic>
              </a:graphicData>
            </a:graphic>
          </wp:anchor>
        </w:drawing>
      </w:r>
    </w:p>
    <w:p>
      <w:pPr>
        <w:spacing w:after="0" w:line="15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UNITED STATES</w:t>
      </w:r>
    </w:p>
    <w:p>
      <w:pPr>
        <w:spacing w:after="0" w:line="3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SECURITIES AND EXCHANGE COMMISSION</w:t>
      </w:r>
    </w:p>
    <w:p>
      <w:pPr>
        <w:spacing w:after="0" w:line="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2279015</wp:posOffset>
            </wp:positionH>
            <wp:positionV relativeFrom="paragraph">
              <wp:posOffset>120015</wp:posOffset>
            </wp:positionV>
            <wp:extent cx="1162050" cy="69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162050" cy="6985"/>
                    </a:xfrm>
                    <a:prstGeom prst="rect">
                      <a:avLst/>
                    </a:prstGeom>
                    <a:noFill/>
                  </pic:spPr>
                </pic:pic>
              </a:graphicData>
            </a:graphic>
          </wp:anchor>
        </w:drawing>
      </w:r>
    </w:p>
    <w:p>
      <w:pPr>
        <w:spacing w:after="0" w:line="24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FORM F-3</w:t>
      </w:r>
    </w:p>
    <w:p>
      <w:pPr>
        <w:spacing w:after="0" w:line="3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REGISTRATION STATEMENT</w:t>
      </w:r>
    </w:p>
    <w:p>
      <w:pPr>
        <w:spacing w:after="0" w:line="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i w:val="1"/>
          <w:iCs w:val="1"/>
          <w:color w:val="auto"/>
        </w:rPr>
        <w:t>UNDER</w:t>
      </w:r>
    </w:p>
    <w:p>
      <w:pPr>
        <w:spacing w:after="0" w:line="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2279015</wp:posOffset>
            </wp:positionH>
            <wp:positionV relativeFrom="paragraph">
              <wp:posOffset>121285</wp:posOffset>
            </wp:positionV>
            <wp:extent cx="1162050" cy="69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162050" cy="6985"/>
                    </a:xfrm>
                    <a:prstGeom prst="rect">
                      <a:avLst/>
                    </a:prstGeom>
                    <a:noFill/>
                  </pic:spPr>
                </pic:pic>
              </a:graphicData>
            </a:graphic>
          </wp:anchor>
        </w:drawing>
      </w:r>
    </w:p>
    <w:p>
      <w:pPr>
        <w:spacing w:after="0" w:line="2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8"/>
          <w:szCs w:val="28"/>
          <w:b w:val="1"/>
          <w:bCs w:val="1"/>
          <w:color w:val="auto"/>
        </w:rPr>
        <w:t>Cemex, S.A.B. de C.V.</w:t>
      </w:r>
    </w:p>
    <w:p>
      <w:pPr>
        <w:spacing w:after="0" w:line="3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1"/>
          <w:szCs w:val="11"/>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2279015</wp:posOffset>
            </wp:positionH>
            <wp:positionV relativeFrom="paragraph">
              <wp:posOffset>118745</wp:posOffset>
            </wp:positionV>
            <wp:extent cx="1162050" cy="69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162050" cy="6985"/>
                    </a:xfrm>
                    <a:prstGeom prst="rect">
                      <a:avLst/>
                    </a:prstGeom>
                    <a:noFill/>
                  </pic:spPr>
                </pic:pic>
              </a:graphicData>
            </a:graphic>
          </wp:anchor>
        </w:drawing>
      </w:r>
    </w:p>
    <w:p>
      <w:pPr>
        <w:spacing w:after="0" w:line="24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1"/>
          <w:szCs w:val="11"/>
          <w:b w:val="1"/>
          <w:bCs w:val="1"/>
          <w:color w:val="auto"/>
        </w:rPr>
        <w:t>Cemex Publicly Traded Stock Corporation with Variable Capital</w:t>
      </w:r>
    </w:p>
    <w:p>
      <w:pPr>
        <w:spacing w:after="0" w:line="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0"/>
          <w:szCs w:val="10"/>
          <w:b w:val="1"/>
          <w:bCs w:val="1"/>
          <w:color w:val="auto"/>
        </w:rPr>
        <w:t>(Translation of registrant’s name into English)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2279015</wp:posOffset>
            </wp:positionH>
            <wp:positionV relativeFrom="paragraph">
              <wp:posOffset>111760</wp:posOffset>
            </wp:positionV>
            <wp:extent cx="1162050" cy="69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162050" cy="6985"/>
                    </a:xfrm>
                    <a:prstGeom prst="rect">
                      <a:avLst/>
                    </a:prstGeom>
                    <a:noFill/>
                  </pic:spPr>
                </pic:pic>
              </a:graphicData>
            </a:graphic>
          </wp:anchor>
        </w:drawing>
      </w:r>
    </w:p>
    <w:p>
      <w:pPr>
        <w:spacing w:after="0" w:line="269" w:lineRule="exact"/>
        <w:rPr>
          <w:sz w:val="24"/>
          <w:szCs w:val="24"/>
          <w:color w:val="auto"/>
        </w:rPr>
      </w:pPr>
    </w:p>
    <w:tbl>
      <w:tblPr>
        <w:tblLayout w:type="fixed"/>
        <w:tblInd w:w="1740" w:type="dxa"/>
        <w:tblCellMar>
          <w:top w:w="0" w:type="dxa"/>
          <w:left w:w="0" w:type="dxa"/>
          <w:bottom w:w="0" w:type="dxa"/>
          <w:right w:w="0" w:type="dxa"/>
        </w:tblCellMar>
      </w:tblPr>
      <w:tr>
        <w:trPr>
          <w:trHeight w:val="126"/>
        </w:trPr>
        <w:tc>
          <w:tcPr>
            <w:tcW w:w="2940" w:type="dxa"/>
            <w:vAlign w:val="bottom"/>
          </w:tcPr>
          <w:p>
            <w:pPr>
              <w:jc w:val="center"/>
              <w:ind w:right="1608"/>
              <w:spacing w:after="0"/>
              <w:rPr>
                <w:sz w:val="20"/>
                <w:szCs w:val="20"/>
                <w:color w:val="auto"/>
              </w:rPr>
            </w:pPr>
            <w:r>
              <w:rPr>
                <w:rFonts w:ascii="Times New Roman" w:cs="Times New Roman" w:eastAsia="Times New Roman" w:hAnsi="Times New Roman"/>
                <w:sz w:val="11"/>
                <w:szCs w:val="11"/>
                <w:b w:val="1"/>
                <w:bCs w:val="1"/>
                <w:color w:val="auto"/>
              </w:rPr>
              <w:t>United Mexican States</w:t>
            </w:r>
          </w:p>
        </w:tc>
        <w:tc>
          <w:tcPr>
            <w:tcW w:w="2620" w:type="dxa"/>
            <w:vAlign w:val="bottom"/>
          </w:tcPr>
          <w:p>
            <w:pPr>
              <w:jc w:val="center"/>
              <w:ind w:left="1588"/>
              <w:spacing w:after="0"/>
              <w:rPr>
                <w:sz w:val="20"/>
                <w:szCs w:val="20"/>
                <w:color w:val="auto"/>
              </w:rPr>
            </w:pPr>
            <w:r>
              <w:rPr>
                <w:rFonts w:ascii="Times New Roman" w:cs="Times New Roman" w:eastAsia="Times New Roman" w:hAnsi="Times New Roman"/>
                <w:sz w:val="11"/>
                <w:szCs w:val="11"/>
                <w:b w:val="1"/>
                <w:bCs w:val="1"/>
                <w:color w:val="auto"/>
              </w:rPr>
              <w:t>Not Applicable</w:t>
            </w:r>
          </w:p>
        </w:tc>
      </w:tr>
      <w:tr>
        <w:trPr>
          <w:trHeight w:val="106"/>
        </w:trPr>
        <w:tc>
          <w:tcPr>
            <w:tcW w:w="2940" w:type="dxa"/>
            <w:vAlign w:val="bottom"/>
          </w:tcPr>
          <w:p>
            <w:pPr>
              <w:jc w:val="center"/>
              <w:ind w:right="1608"/>
              <w:spacing w:after="0" w:line="107" w:lineRule="exact"/>
              <w:rPr>
                <w:sz w:val="20"/>
                <w:szCs w:val="20"/>
                <w:color w:val="auto"/>
              </w:rPr>
            </w:pPr>
            <w:r>
              <w:rPr>
                <w:rFonts w:ascii="Times New Roman" w:cs="Times New Roman" w:eastAsia="Times New Roman" w:hAnsi="Times New Roman"/>
                <w:sz w:val="10"/>
                <w:szCs w:val="10"/>
                <w:b w:val="1"/>
                <w:bCs w:val="1"/>
                <w:color w:val="auto"/>
                <w:w w:val="99"/>
              </w:rPr>
              <w:t>(State or other jurisdiction of</w:t>
            </w:r>
          </w:p>
        </w:tc>
        <w:tc>
          <w:tcPr>
            <w:tcW w:w="2620" w:type="dxa"/>
            <w:vAlign w:val="bottom"/>
          </w:tcPr>
          <w:p>
            <w:pPr>
              <w:jc w:val="center"/>
              <w:ind w:left="1568"/>
              <w:spacing w:after="0" w:line="107" w:lineRule="exact"/>
              <w:rPr>
                <w:sz w:val="20"/>
                <w:szCs w:val="20"/>
                <w:color w:val="auto"/>
              </w:rPr>
            </w:pPr>
            <w:r>
              <w:rPr>
                <w:rFonts w:ascii="Times New Roman" w:cs="Times New Roman" w:eastAsia="Times New Roman" w:hAnsi="Times New Roman"/>
                <w:sz w:val="10"/>
                <w:szCs w:val="10"/>
                <w:b w:val="1"/>
                <w:bCs w:val="1"/>
                <w:color w:val="auto"/>
                <w:w w:val="99"/>
              </w:rPr>
              <w:t>(I.R.S. Employer</w:t>
            </w:r>
          </w:p>
        </w:tc>
      </w:tr>
      <w:tr>
        <w:trPr>
          <w:trHeight w:val="130"/>
        </w:trPr>
        <w:tc>
          <w:tcPr>
            <w:tcW w:w="2940" w:type="dxa"/>
            <w:vAlign w:val="bottom"/>
          </w:tcPr>
          <w:p>
            <w:pPr>
              <w:jc w:val="center"/>
              <w:ind w:right="1608"/>
              <w:spacing w:after="0"/>
              <w:rPr>
                <w:sz w:val="20"/>
                <w:szCs w:val="20"/>
                <w:color w:val="auto"/>
              </w:rPr>
            </w:pPr>
            <w:r>
              <w:rPr>
                <w:rFonts w:ascii="Times New Roman" w:cs="Times New Roman" w:eastAsia="Times New Roman" w:hAnsi="Times New Roman"/>
                <w:sz w:val="10"/>
                <w:szCs w:val="10"/>
                <w:b w:val="1"/>
                <w:bCs w:val="1"/>
                <w:color w:val="auto"/>
                <w:w w:val="98"/>
              </w:rPr>
              <w:t>incorporation or organization)</w:t>
            </w:r>
          </w:p>
        </w:tc>
        <w:tc>
          <w:tcPr>
            <w:tcW w:w="2620" w:type="dxa"/>
            <w:vAlign w:val="bottom"/>
          </w:tcPr>
          <w:p>
            <w:pPr>
              <w:jc w:val="center"/>
              <w:ind w:left="1588"/>
              <w:spacing w:after="0"/>
              <w:rPr>
                <w:sz w:val="20"/>
                <w:szCs w:val="20"/>
                <w:color w:val="auto"/>
              </w:rPr>
            </w:pPr>
            <w:r>
              <w:rPr>
                <w:rFonts w:ascii="Times New Roman" w:cs="Times New Roman" w:eastAsia="Times New Roman" w:hAnsi="Times New Roman"/>
                <w:sz w:val="10"/>
                <w:szCs w:val="10"/>
                <w:b w:val="1"/>
                <w:bCs w:val="1"/>
                <w:color w:val="auto"/>
                <w:w w:val="98"/>
              </w:rPr>
              <w:t>Identification Number)</w:t>
            </w:r>
          </w:p>
        </w:tc>
      </w:tr>
    </w:tbl>
    <w:p>
      <w:pPr>
        <w:spacing w:after="0" w:line="6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1"/>
          <w:szCs w:val="11"/>
          <w:b w:val="1"/>
          <w:bCs w:val="1"/>
          <w:color w:val="auto"/>
        </w:rPr>
        <w:t>Avenida Ricardo Margáin Zozaya #325, Colonia Valle del Campestre, San Pedro Garza García,</w:t>
      </w:r>
    </w:p>
    <w:p>
      <w:pPr>
        <w:jc w:val="center"/>
        <w:ind w:right="19"/>
        <w:spacing w:after="0" w:line="230" w:lineRule="auto"/>
        <w:rPr>
          <w:sz w:val="20"/>
          <w:szCs w:val="20"/>
          <w:color w:val="auto"/>
        </w:rPr>
      </w:pPr>
      <w:r>
        <w:rPr>
          <w:rFonts w:ascii="Times New Roman" w:cs="Times New Roman" w:eastAsia="Times New Roman" w:hAnsi="Times New Roman"/>
          <w:sz w:val="11"/>
          <w:szCs w:val="11"/>
          <w:b w:val="1"/>
          <w:bCs w:val="1"/>
          <w:color w:val="auto"/>
        </w:rPr>
        <w:t>Nuevo León, 66265 Mexico</w:t>
      </w:r>
    </w:p>
    <w:p>
      <w:pPr>
        <w:jc w:val="center"/>
        <w:ind w:right="19"/>
        <w:spacing w:after="0" w:line="226" w:lineRule="auto"/>
        <w:rPr>
          <w:sz w:val="20"/>
          <w:szCs w:val="20"/>
          <w:color w:val="auto"/>
        </w:rPr>
      </w:pPr>
      <w:r>
        <w:rPr>
          <w:rFonts w:ascii="Times New Roman" w:cs="Times New Roman" w:eastAsia="Times New Roman" w:hAnsi="Times New Roman"/>
          <w:sz w:val="11"/>
          <w:szCs w:val="11"/>
          <w:b w:val="1"/>
          <w:bCs w:val="1"/>
          <w:color w:val="auto"/>
        </w:rPr>
        <w:t>+52 (81) 8888-8888</w:t>
      </w:r>
    </w:p>
    <w:p>
      <w:pPr>
        <w:jc w:val="center"/>
        <w:ind w:right="19"/>
        <w:spacing w:after="0"/>
        <w:rPr>
          <w:sz w:val="20"/>
          <w:szCs w:val="20"/>
          <w:color w:val="auto"/>
        </w:rPr>
      </w:pPr>
      <w:r>
        <w:rPr>
          <w:rFonts w:ascii="Times New Roman" w:cs="Times New Roman" w:eastAsia="Times New Roman" w:hAnsi="Times New Roman"/>
          <w:sz w:val="10"/>
          <w:szCs w:val="10"/>
          <w:b w:val="1"/>
          <w:bCs w:val="1"/>
          <w:color w:val="auto"/>
        </w:rPr>
        <w:t>(Address and telephone number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2279015</wp:posOffset>
            </wp:positionH>
            <wp:positionV relativeFrom="paragraph">
              <wp:posOffset>111760</wp:posOffset>
            </wp:positionV>
            <wp:extent cx="1162050" cy="698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162050" cy="6985"/>
                    </a:xfrm>
                    <a:prstGeom prst="rect">
                      <a:avLst/>
                    </a:prstGeom>
                    <a:noFill/>
                  </pic:spPr>
                </pic:pic>
              </a:graphicData>
            </a:graphic>
          </wp:anchor>
        </w:drawing>
      </w:r>
    </w:p>
    <w:p>
      <w:pPr>
        <w:spacing w:after="0" w:line="23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1"/>
          <w:szCs w:val="11"/>
          <w:b w:val="1"/>
          <w:bCs w:val="1"/>
          <w:color w:val="auto"/>
        </w:rPr>
        <w:t>Cemex NY Corporation</w:t>
      </w:r>
    </w:p>
    <w:p>
      <w:pPr>
        <w:jc w:val="center"/>
        <w:ind w:right="19"/>
        <w:spacing w:after="0" w:line="230" w:lineRule="auto"/>
        <w:rPr>
          <w:sz w:val="20"/>
          <w:szCs w:val="20"/>
          <w:color w:val="auto"/>
        </w:rPr>
      </w:pPr>
      <w:r>
        <w:rPr>
          <w:rFonts w:ascii="Times New Roman" w:cs="Times New Roman" w:eastAsia="Times New Roman" w:hAnsi="Times New Roman"/>
          <w:sz w:val="11"/>
          <w:szCs w:val="11"/>
          <w:b w:val="1"/>
          <w:bCs w:val="1"/>
          <w:color w:val="auto"/>
        </w:rPr>
        <w:t>590 Madison Avenue, 27th Floor</w:t>
      </w:r>
    </w:p>
    <w:p>
      <w:pPr>
        <w:jc w:val="center"/>
        <w:ind w:right="19"/>
        <w:spacing w:after="0" w:line="222" w:lineRule="auto"/>
        <w:rPr>
          <w:sz w:val="20"/>
          <w:szCs w:val="20"/>
          <w:color w:val="auto"/>
        </w:rPr>
      </w:pPr>
      <w:r>
        <w:rPr>
          <w:rFonts w:ascii="Times New Roman" w:cs="Times New Roman" w:eastAsia="Times New Roman" w:hAnsi="Times New Roman"/>
          <w:sz w:val="11"/>
          <w:szCs w:val="11"/>
          <w:b w:val="1"/>
          <w:bCs w:val="1"/>
          <w:color w:val="auto"/>
        </w:rPr>
        <w:t>New York, New York 10022</w:t>
      </w:r>
    </w:p>
    <w:p>
      <w:pPr>
        <w:jc w:val="center"/>
        <w:ind w:right="19"/>
        <w:spacing w:after="0" w:line="226" w:lineRule="auto"/>
        <w:rPr>
          <w:sz w:val="20"/>
          <w:szCs w:val="20"/>
          <w:color w:val="auto"/>
        </w:rPr>
      </w:pPr>
      <w:r>
        <w:rPr>
          <w:rFonts w:ascii="Times New Roman" w:cs="Times New Roman" w:eastAsia="Times New Roman" w:hAnsi="Times New Roman"/>
          <w:sz w:val="11"/>
          <w:szCs w:val="11"/>
          <w:b w:val="1"/>
          <w:bCs w:val="1"/>
          <w:color w:val="auto"/>
        </w:rPr>
        <w:t>Telephone: (212) 317-6011</w:t>
      </w:r>
    </w:p>
    <w:p>
      <w:pPr>
        <w:jc w:val="center"/>
        <w:ind w:right="19"/>
        <w:spacing w:after="0"/>
        <w:rPr>
          <w:sz w:val="20"/>
          <w:szCs w:val="20"/>
          <w:color w:val="auto"/>
        </w:rPr>
      </w:pPr>
      <w:r>
        <w:rPr>
          <w:rFonts w:ascii="Times New Roman" w:cs="Times New Roman" w:eastAsia="Times New Roman" w:hAnsi="Times New Roman"/>
          <w:sz w:val="10"/>
          <w:szCs w:val="10"/>
          <w:b w:val="1"/>
          <w:bCs w:val="1"/>
          <w:color w:val="auto"/>
        </w:rPr>
        <w:t>(Name, address, and telephone number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2279015</wp:posOffset>
            </wp:positionH>
            <wp:positionV relativeFrom="paragraph">
              <wp:posOffset>111760</wp:posOffset>
            </wp:positionV>
            <wp:extent cx="1162050" cy="698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162050" cy="6985"/>
                    </a:xfrm>
                    <a:prstGeom prst="rect">
                      <a:avLst/>
                    </a:prstGeom>
                    <a:noFill/>
                  </pic:spPr>
                </pic:pic>
              </a:graphicData>
            </a:graphic>
          </wp:anchor>
        </w:drawing>
      </w:r>
    </w:p>
    <w:p>
      <w:pPr>
        <w:spacing w:after="0" w:line="23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1"/>
          <w:szCs w:val="11"/>
          <w:b w:val="1"/>
          <w:bCs w:val="1"/>
          <w:i w:val="1"/>
          <w:iCs w:val="1"/>
          <w:color w:val="auto"/>
        </w:rPr>
        <w:t>Copy to:</w:t>
      </w:r>
    </w:p>
    <w:p>
      <w:pPr>
        <w:spacing w:after="0" w:line="7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1"/>
          <w:szCs w:val="11"/>
          <w:b w:val="1"/>
          <w:bCs w:val="1"/>
          <w:color w:val="auto"/>
        </w:rPr>
        <w:t>Gregory A. Fernicola</w:t>
      </w:r>
    </w:p>
    <w:p>
      <w:pPr>
        <w:jc w:val="center"/>
        <w:ind w:right="19"/>
        <w:spacing w:after="0" w:line="230" w:lineRule="auto"/>
        <w:rPr>
          <w:sz w:val="20"/>
          <w:szCs w:val="20"/>
          <w:color w:val="auto"/>
        </w:rPr>
      </w:pPr>
      <w:r>
        <w:rPr>
          <w:rFonts w:ascii="Times New Roman" w:cs="Times New Roman" w:eastAsia="Times New Roman" w:hAnsi="Times New Roman"/>
          <w:sz w:val="11"/>
          <w:szCs w:val="11"/>
          <w:b w:val="1"/>
          <w:bCs w:val="1"/>
          <w:color w:val="auto"/>
        </w:rPr>
        <w:t>Skadden, Arps, Slate, Meagher &amp; Flom LLP</w:t>
      </w:r>
    </w:p>
    <w:p>
      <w:pPr>
        <w:jc w:val="center"/>
        <w:ind w:right="19"/>
        <w:spacing w:after="0" w:line="222" w:lineRule="auto"/>
        <w:rPr>
          <w:sz w:val="20"/>
          <w:szCs w:val="20"/>
          <w:color w:val="auto"/>
        </w:rPr>
      </w:pPr>
      <w:r>
        <w:rPr>
          <w:rFonts w:ascii="Times New Roman" w:cs="Times New Roman" w:eastAsia="Times New Roman" w:hAnsi="Times New Roman"/>
          <w:sz w:val="11"/>
          <w:szCs w:val="11"/>
          <w:b w:val="1"/>
          <w:bCs w:val="1"/>
          <w:color w:val="auto"/>
        </w:rPr>
        <w:t>One Manhattan West</w:t>
      </w:r>
    </w:p>
    <w:p>
      <w:pPr>
        <w:jc w:val="center"/>
        <w:ind w:right="19"/>
        <w:spacing w:after="0" w:line="222" w:lineRule="auto"/>
        <w:rPr>
          <w:sz w:val="20"/>
          <w:szCs w:val="20"/>
          <w:color w:val="auto"/>
        </w:rPr>
      </w:pPr>
      <w:r>
        <w:rPr>
          <w:rFonts w:ascii="Times New Roman" w:cs="Times New Roman" w:eastAsia="Times New Roman" w:hAnsi="Times New Roman"/>
          <w:sz w:val="11"/>
          <w:szCs w:val="11"/>
          <w:b w:val="1"/>
          <w:bCs w:val="1"/>
          <w:color w:val="auto"/>
        </w:rPr>
        <w:t>New York, New York 10001</w:t>
      </w:r>
    </w:p>
    <w:p>
      <w:pPr>
        <w:jc w:val="center"/>
        <w:ind w:right="19"/>
        <w:spacing w:after="0" w:line="222" w:lineRule="auto"/>
        <w:rPr>
          <w:sz w:val="20"/>
          <w:szCs w:val="20"/>
          <w:color w:val="auto"/>
        </w:rPr>
      </w:pPr>
      <w:r>
        <w:rPr>
          <w:rFonts w:ascii="Times New Roman" w:cs="Times New Roman" w:eastAsia="Times New Roman" w:hAnsi="Times New Roman"/>
          <w:sz w:val="11"/>
          <w:szCs w:val="11"/>
          <w:b w:val="1"/>
          <w:bCs w:val="1"/>
          <w:color w:val="auto"/>
        </w:rPr>
        <w:t>Telephone: (212) 735-3000</w:t>
      </w:r>
    </w:p>
    <w:p>
      <w:pPr>
        <w:jc w:val="center"/>
        <w:ind w:right="19"/>
        <w:spacing w:after="0"/>
        <w:rPr>
          <w:sz w:val="20"/>
          <w:szCs w:val="20"/>
          <w:color w:val="auto"/>
        </w:rPr>
      </w:pPr>
      <w:r>
        <w:rPr>
          <w:rFonts w:ascii="Times New Roman" w:cs="Times New Roman" w:eastAsia="Times New Roman" w:hAnsi="Times New Roman"/>
          <w:sz w:val="11"/>
          <w:szCs w:val="11"/>
          <w:b w:val="1"/>
          <w:bCs w:val="1"/>
          <w:color w:val="auto"/>
        </w:rPr>
        <w:t>Facsimile: (212) 735-2000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2279015</wp:posOffset>
            </wp:positionH>
            <wp:positionV relativeFrom="paragraph">
              <wp:posOffset>118745</wp:posOffset>
            </wp:positionV>
            <wp:extent cx="1162050" cy="698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162050" cy="6985"/>
                    </a:xfrm>
                    <a:prstGeom prst="rect">
                      <a:avLst/>
                    </a:prstGeom>
                    <a:noFill/>
                  </pic:spPr>
                </pic:pic>
              </a:graphicData>
            </a:graphic>
          </wp:anchor>
        </w:drawing>
      </w:r>
    </w:p>
    <w:p>
      <w:pPr>
        <w:spacing w:after="0" w:line="244" w:lineRule="exact"/>
        <w:rPr>
          <w:sz w:val="24"/>
          <w:szCs w:val="24"/>
          <w:color w:val="auto"/>
        </w:rPr>
      </w:pPr>
    </w:p>
    <w:p>
      <w:pPr>
        <w:ind w:left="520"/>
        <w:spacing w:after="0"/>
        <w:rPr>
          <w:sz w:val="20"/>
          <w:szCs w:val="20"/>
          <w:color w:val="auto"/>
        </w:rPr>
      </w:pPr>
      <w:r>
        <w:rPr>
          <w:rFonts w:ascii="Times New Roman" w:cs="Times New Roman" w:eastAsia="Times New Roman" w:hAnsi="Times New Roman"/>
          <w:sz w:val="11"/>
          <w:szCs w:val="11"/>
          <w:b w:val="1"/>
          <w:bCs w:val="1"/>
          <w:color w:val="auto"/>
        </w:rPr>
        <w:t>Approximate date of commencement of proposed sale to the public</w:t>
      </w:r>
      <w:r>
        <w:rPr>
          <w:rFonts w:ascii="Times New Roman" w:cs="Times New Roman" w:eastAsia="Times New Roman" w:hAnsi="Times New Roman"/>
          <w:sz w:val="11"/>
          <w:szCs w:val="11"/>
          <w:color w:val="auto"/>
        </w:rPr>
        <w:t>: From time to time after the effective date of this registration statement.</w:t>
      </w:r>
    </w:p>
    <w:p>
      <w:pPr>
        <w:spacing w:after="0" w:line="62" w:lineRule="exact"/>
        <w:rPr>
          <w:sz w:val="24"/>
          <w:szCs w:val="24"/>
          <w:color w:val="auto"/>
        </w:rPr>
      </w:pPr>
    </w:p>
    <w:p>
      <w:pPr>
        <w:ind w:left="520"/>
        <w:spacing w:after="0" w:line="127" w:lineRule="exact"/>
        <w:rPr>
          <w:sz w:val="20"/>
          <w:szCs w:val="20"/>
          <w:color w:val="auto"/>
        </w:rPr>
      </w:pPr>
      <w:r>
        <w:rPr>
          <w:rFonts w:ascii="Times New Roman" w:cs="Times New Roman" w:eastAsia="Times New Roman" w:hAnsi="Times New Roman"/>
          <w:sz w:val="11"/>
          <w:szCs w:val="11"/>
          <w:color w:val="auto"/>
        </w:rPr>
        <w:t xml:space="preserve">If the only securities being registered on this Form are being offered pursuant to dividend or interest reinvestment plans, please check the following box.  </w:t>
      </w:r>
      <w:r>
        <w:rPr>
          <w:rFonts w:ascii="MS PGothic" w:cs="MS PGothic" w:eastAsia="MS PGothic" w:hAnsi="MS PGothic"/>
          <w:sz w:val="11"/>
          <w:szCs w:val="11"/>
          <w:color w:val="auto"/>
        </w:rPr>
        <w:t>☐</w:t>
      </w:r>
    </w:p>
    <w:p>
      <w:pPr>
        <w:spacing w:after="0" w:line="112" w:lineRule="exact"/>
        <w:rPr>
          <w:sz w:val="24"/>
          <w:szCs w:val="24"/>
          <w:color w:val="auto"/>
        </w:rPr>
      </w:pPr>
    </w:p>
    <w:p>
      <w:pPr>
        <w:ind w:left="160" w:right="419" w:firstLine="347"/>
        <w:spacing w:after="0" w:line="146" w:lineRule="exact"/>
        <w:rPr>
          <w:sz w:val="20"/>
          <w:szCs w:val="20"/>
          <w:color w:val="auto"/>
        </w:rPr>
      </w:pPr>
      <w:r>
        <w:rPr>
          <w:rFonts w:ascii="Times New Roman" w:cs="Times New Roman" w:eastAsia="Times New Roman" w:hAnsi="Times New Roman"/>
          <w:sz w:val="11"/>
          <w:szCs w:val="11"/>
          <w:color w:val="auto"/>
        </w:rPr>
        <w:t xml:space="preserve">If any of the securities being registered on this Form are to be offered on a delayed or continuous basis pursuant to Rule 415 under the Securities Act of 1933, other than securities offered only in connection with dividend or interest reinvestment plans, check the following box.  </w:t>
      </w:r>
      <w:r>
        <w:rPr>
          <w:rFonts w:ascii="MS PGothic" w:cs="MS PGothic" w:eastAsia="MS PGothic" w:hAnsi="MS PGothic"/>
          <w:sz w:val="11"/>
          <w:szCs w:val="11"/>
          <w:color w:val="auto"/>
        </w:rPr>
        <w:t>☒</w:t>
      </w:r>
    </w:p>
    <w:p>
      <w:pPr>
        <w:spacing w:after="0" w:line="48" w:lineRule="exact"/>
        <w:rPr>
          <w:sz w:val="24"/>
          <w:szCs w:val="24"/>
          <w:color w:val="auto"/>
        </w:rPr>
      </w:pPr>
    </w:p>
    <w:p>
      <w:pPr>
        <w:ind w:left="160" w:right="619" w:firstLine="347"/>
        <w:spacing w:after="0" w:line="146" w:lineRule="exact"/>
        <w:rPr>
          <w:sz w:val="20"/>
          <w:szCs w:val="20"/>
          <w:color w:val="auto"/>
        </w:rPr>
      </w:pPr>
      <w:r>
        <w:rPr>
          <w:rFonts w:ascii="Times New Roman" w:cs="Times New Roman" w:eastAsia="Times New Roman" w:hAnsi="Times New Roman"/>
          <w:sz w:val="11"/>
          <w:szCs w:val="11"/>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1"/>
          <w:szCs w:val="11"/>
          <w:color w:val="auto"/>
        </w:rPr>
        <w:t>☐</w:t>
      </w:r>
    </w:p>
    <w:p>
      <w:pPr>
        <w:spacing w:after="0" w:line="48" w:lineRule="exact"/>
        <w:rPr>
          <w:sz w:val="24"/>
          <w:szCs w:val="24"/>
          <w:color w:val="auto"/>
        </w:rPr>
      </w:pPr>
    </w:p>
    <w:p>
      <w:pPr>
        <w:ind w:left="160" w:right="259" w:firstLine="347"/>
        <w:spacing w:after="0" w:line="146" w:lineRule="exact"/>
        <w:rPr>
          <w:sz w:val="20"/>
          <w:szCs w:val="20"/>
          <w:color w:val="auto"/>
        </w:rPr>
      </w:pPr>
      <w:r>
        <w:rPr>
          <w:rFonts w:ascii="Times New Roman" w:cs="Times New Roman" w:eastAsia="Times New Roman" w:hAnsi="Times New Roman"/>
          <w:sz w:val="11"/>
          <w:szCs w:val="11"/>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1"/>
          <w:szCs w:val="11"/>
          <w:color w:val="auto"/>
        </w:rPr>
        <w:t>☐</w:t>
      </w:r>
    </w:p>
    <w:p>
      <w:pPr>
        <w:spacing w:after="0" w:line="48" w:lineRule="exact"/>
        <w:rPr>
          <w:sz w:val="24"/>
          <w:szCs w:val="24"/>
          <w:color w:val="auto"/>
        </w:rPr>
      </w:pPr>
    </w:p>
    <w:p>
      <w:pPr>
        <w:ind w:left="160" w:right="199" w:firstLine="347"/>
        <w:spacing w:after="0" w:line="146" w:lineRule="exact"/>
        <w:rPr>
          <w:sz w:val="20"/>
          <w:szCs w:val="20"/>
          <w:color w:val="auto"/>
        </w:rPr>
      </w:pPr>
      <w:r>
        <w:rPr>
          <w:rFonts w:ascii="Times New Roman" w:cs="Times New Roman" w:eastAsia="Times New Roman" w:hAnsi="Times New Roman"/>
          <w:sz w:val="11"/>
          <w:szCs w:val="11"/>
          <w:color w:val="auto"/>
        </w:rPr>
        <w:t xml:space="preserve">If this Form is a registration statement pursuant to General Instruction I.C. or a post-effective amendment thereto that shall become effective upon filing with the Commission pursuant to Rule 462(e) under the Securities Act, check the following box.  </w:t>
      </w:r>
      <w:r>
        <w:rPr>
          <w:rFonts w:ascii="MS PGothic" w:cs="MS PGothic" w:eastAsia="MS PGothic" w:hAnsi="MS PGothic"/>
          <w:sz w:val="11"/>
          <w:szCs w:val="11"/>
          <w:color w:val="auto"/>
        </w:rPr>
        <w:t>☒</w:t>
      </w:r>
    </w:p>
    <w:p>
      <w:pPr>
        <w:spacing w:after="0" w:line="48" w:lineRule="exact"/>
        <w:rPr>
          <w:sz w:val="24"/>
          <w:szCs w:val="24"/>
          <w:color w:val="auto"/>
        </w:rPr>
      </w:pPr>
    </w:p>
    <w:p>
      <w:pPr>
        <w:ind w:left="160" w:right="319" w:firstLine="347"/>
        <w:spacing w:after="0" w:line="146" w:lineRule="exact"/>
        <w:rPr>
          <w:sz w:val="20"/>
          <w:szCs w:val="20"/>
          <w:color w:val="auto"/>
        </w:rPr>
      </w:pPr>
      <w:r>
        <w:rPr>
          <w:rFonts w:ascii="Times New Roman" w:cs="Times New Roman" w:eastAsia="Times New Roman" w:hAnsi="Times New Roman"/>
          <w:sz w:val="11"/>
          <w:szCs w:val="11"/>
          <w:color w:val="auto"/>
        </w:rPr>
        <w:t xml:space="preserve">If this Form is a post-effective amendment to a registration statement filed pursuant to General Instruction I.C. filed to register additional securities or additional classes of securities pursuant to Rule 413(b) under the Securities Act, check the following box.  </w:t>
      </w:r>
      <w:r>
        <w:rPr>
          <w:rFonts w:ascii="MS PGothic" w:cs="MS PGothic" w:eastAsia="MS PGothic" w:hAnsi="MS PGothic"/>
          <w:sz w:val="11"/>
          <w:szCs w:val="11"/>
          <w:color w:val="auto"/>
        </w:rPr>
        <w:t>☐</w:t>
      </w:r>
    </w:p>
    <w:p>
      <w:pPr>
        <w:spacing w:after="0" w:line="33" w:lineRule="exact"/>
        <w:rPr>
          <w:sz w:val="24"/>
          <w:szCs w:val="24"/>
          <w:color w:val="auto"/>
        </w:rPr>
      </w:pPr>
    </w:p>
    <w:p>
      <w:pPr>
        <w:ind w:left="520"/>
        <w:spacing w:after="0" w:line="127" w:lineRule="exact"/>
        <w:rPr>
          <w:sz w:val="20"/>
          <w:szCs w:val="20"/>
          <w:color w:val="auto"/>
        </w:rPr>
      </w:pPr>
      <w:r>
        <w:rPr>
          <w:rFonts w:ascii="Times New Roman" w:cs="Times New Roman" w:eastAsia="Times New Roman" w:hAnsi="Times New Roman"/>
          <w:sz w:val="11"/>
          <w:szCs w:val="11"/>
          <w:color w:val="auto"/>
        </w:rPr>
        <w:t xml:space="preserve">Indicate by check mark whether the registrant is an emerging growth company as defined in Rule 405 of the Securities Act of 1933.  </w:t>
      </w:r>
      <w:r>
        <w:rPr>
          <w:rFonts w:ascii="MS PGothic" w:cs="MS PGothic" w:eastAsia="MS PGothic" w:hAnsi="MS PGothic"/>
          <w:sz w:val="11"/>
          <w:szCs w:val="11"/>
          <w:color w:val="auto"/>
        </w:rPr>
        <w:t>☐</w:t>
      </w:r>
    </w:p>
    <w:p>
      <w:pPr>
        <w:spacing w:after="0" w:line="112" w:lineRule="exact"/>
        <w:rPr>
          <w:sz w:val="24"/>
          <w:szCs w:val="24"/>
          <w:color w:val="auto"/>
        </w:rPr>
      </w:pPr>
    </w:p>
    <w:p>
      <w:pPr>
        <w:ind w:left="160" w:right="499" w:firstLine="347"/>
        <w:spacing w:after="0" w:line="146" w:lineRule="exact"/>
        <w:rPr>
          <w:sz w:val="20"/>
          <w:szCs w:val="20"/>
          <w:color w:val="auto"/>
        </w:rPr>
      </w:pPr>
      <w:r>
        <w:rPr>
          <w:rFonts w:ascii="Times New Roman" w:cs="Times New Roman" w:eastAsia="Times New Roman" w:hAnsi="Times New Roman"/>
          <w:sz w:val="11"/>
          <w:szCs w:val="11"/>
          <w:color w:val="auto"/>
        </w:rPr>
        <w:t xml:space="preserve">If an emerging growth company that prepares its financial statements in accordance with U.S. GAAP, indicate by check mark if the registrant has elected not to use the extended transition period for complying with any new or revised financial accounting standards† provided pursuant to Section 7(a)(2)(B) under the Securities Act.  </w:t>
      </w:r>
      <w:r>
        <w:rPr>
          <w:rFonts w:ascii="MS PGothic" w:cs="MS PGothic" w:eastAsia="MS PGothic" w:hAnsi="MS PGothic"/>
          <w:sz w:val="11"/>
          <w:szCs w:val="11"/>
          <w:color w:val="auto"/>
        </w:rPr>
        <w:t>☐</w:t>
      </w:r>
    </w:p>
    <w:p>
      <w:pPr>
        <w:spacing w:after="0" w:line="59" w:lineRule="exact"/>
        <w:rPr>
          <w:sz w:val="24"/>
          <w:szCs w:val="24"/>
          <w:color w:val="auto"/>
        </w:rPr>
      </w:pPr>
    </w:p>
    <w:p>
      <w:pPr>
        <w:ind w:left="340" w:right="279" w:hanging="177"/>
        <w:spacing w:after="0" w:line="261" w:lineRule="auto"/>
        <w:tabs>
          <w:tab w:leader="none" w:pos="340" w:val="left"/>
        </w:tabs>
        <w:numPr>
          <w:ilvl w:val="0"/>
          <w:numId w:val="1"/>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The term “new or revised financial accounting standard” refers to any update issued by the Financial Accounting Standards Board to its Accounting Standards Codification after April 5, 2012.</w:t>
      </w:r>
    </w:p>
    <w:p>
      <w:pPr>
        <w:spacing w:after="0" w:line="4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1"/>
          <w:szCs w:val="11"/>
          <w:b w:val="1"/>
          <w:bCs w:val="1"/>
          <w:color w:val="auto"/>
        </w:rPr>
        <w:t>TABLE OF ADDITIONAL REGISTRANTS</w:t>
      </w:r>
    </w:p>
    <w:p>
      <w:pPr>
        <w:spacing w:after="0" w:line="82" w:lineRule="exact"/>
        <w:rPr>
          <w:sz w:val="24"/>
          <w:szCs w:val="24"/>
          <w:color w:val="auto"/>
        </w:rPr>
      </w:pPr>
    </w:p>
    <w:tbl>
      <w:tblPr>
        <w:tblLayout w:type="fixed"/>
        <w:tblInd w:w="160" w:type="dxa"/>
        <w:tblCellMar>
          <w:top w:w="0" w:type="dxa"/>
          <w:left w:w="0" w:type="dxa"/>
          <w:bottom w:w="0" w:type="dxa"/>
          <w:right w:w="0" w:type="dxa"/>
        </w:tblCellMar>
      </w:tblPr>
      <w:tr>
        <w:trPr>
          <w:trHeight w:val="115"/>
        </w:trPr>
        <w:tc>
          <w:tcPr>
            <w:tcW w:w="2520" w:type="dxa"/>
            <w:vAlign w:val="bottom"/>
            <w:gridSpan w:val="2"/>
          </w:tcPr>
          <w:p>
            <w:pPr>
              <w:jc w:val="center"/>
              <w:ind w:right="180"/>
              <w:spacing w:after="0"/>
              <w:rPr>
                <w:sz w:val="20"/>
                <w:szCs w:val="20"/>
                <w:color w:val="auto"/>
              </w:rPr>
            </w:pPr>
            <w:r>
              <w:rPr>
                <w:rFonts w:ascii="Times New Roman" w:cs="Times New Roman" w:eastAsia="Times New Roman" w:hAnsi="Times New Roman"/>
                <w:sz w:val="10"/>
                <w:szCs w:val="10"/>
                <w:b w:val="1"/>
                <w:bCs w:val="1"/>
                <w:color w:val="auto"/>
                <w:w w:val="99"/>
              </w:rPr>
              <w:t>Exact Name of Additional</w:t>
            </w:r>
          </w:p>
        </w:tc>
        <w:tc>
          <w:tcPr>
            <w:tcW w:w="2240" w:type="dxa"/>
            <w:vAlign w:val="bottom"/>
            <w:gridSpan w:val="2"/>
          </w:tcPr>
          <w:p>
            <w:pPr>
              <w:jc w:val="center"/>
              <w:ind w:right="180"/>
              <w:spacing w:after="0"/>
              <w:rPr>
                <w:sz w:val="20"/>
                <w:szCs w:val="20"/>
                <w:color w:val="auto"/>
              </w:rPr>
            </w:pPr>
            <w:r>
              <w:rPr>
                <w:rFonts w:ascii="Times New Roman" w:cs="Times New Roman" w:eastAsia="Times New Roman" w:hAnsi="Times New Roman"/>
                <w:sz w:val="10"/>
                <w:szCs w:val="10"/>
                <w:b w:val="1"/>
                <w:bCs w:val="1"/>
                <w:color w:val="auto"/>
                <w:w w:val="97"/>
              </w:rPr>
              <w:t>Address and Telephone</w:t>
            </w:r>
          </w:p>
        </w:tc>
        <w:tc>
          <w:tcPr>
            <w:tcW w:w="20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72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9"/>
              </w:rPr>
              <w:t>I.R.S. Employee Identification</w:t>
            </w:r>
          </w:p>
        </w:tc>
      </w:tr>
      <w:tr>
        <w:trPr>
          <w:trHeight w:val="130"/>
        </w:trPr>
        <w:tc>
          <w:tcPr>
            <w:tcW w:w="2520" w:type="dxa"/>
            <w:vAlign w:val="bottom"/>
            <w:gridSpan w:val="2"/>
          </w:tcPr>
          <w:p>
            <w:pPr>
              <w:jc w:val="center"/>
              <w:ind w:right="160"/>
              <w:spacing w:after="0"/>
              <w:rPr>
                <w:sz w:val="20"/>
                <w:szCs w:val="20"/>
                <w:color w:val="auto"/>
              </w:rPr>
            </w:pPr>
            <w:r>
              <w:rPr>
                <w:rFonts w:ascii="Times New Roman" w:cs="Times New Roman" w:eastAsia="Times New Roman" w:hAnsi="Times New Roman"/>
                <w:sz w:val="10"/>
                <w:szCs w:val="10"/>
                <w:b w:val="1"/>
                <w:bCs w:val="1"/>
                <w:color w:val="auto"/>
                <w:w w:val="98"/>
              </w:rPr>
              <w:t>Registrants</w:t>
            </w:r>
          </w:p>
        </w:tc>
        <w:tc>
          <w:tcPr>
            <w:tcW w:w="2240" w:type="dxa"/>
            <w:vAlign w:val="bottom"/>
            <w:gridSpan w:val="2"/>
          </w:tcPr>
          <w:p>
            <w:pPr>
              <w:jc w:val="center"/>
              <w:ind w:right="180"/>
              <w:spacing w:after="0"/>
              <w:rPr>
                <w:sz w:val="20"/>
                <w:szCs w:val="20"/>
                <w:color w:val="auto"/>
              </w:rPr>
            </w:pPr>
            <w:r>
              <w:rPr>
                <w:rFonts w:ascii="Times New Roman" w:cs="Times New Roman" w:eastAsia="Times New Roman" w:hAnsi="Times New Roman"/>
                <w:sz w:val="10"/>
                <w:szCs w:val="10"/>
                <w:b w:val="1"/>
                <w:bCs w:val="1"/>
                <w:color w:val="auto"/>
                <w:w w:val="95"/>
              </w:rPr>
              <w:t>Number</w:t>
            </w:r>
          </w:p>
        </w:tc>
        <w:tc>
          <w:tcPr>
            <w:tcW w:w="2200" w:type="dxa"/>
            <w:vAlign w:val="bottom"/>
            <w:gridSpan w:val="2"/>
          </w:tcPr>
          <w:p>
            <w:pPr>
              <w:jc w:val="center"/>
              <w:ind w:right="120"/>
              <w:spacing w:after="0"/>
              <w:rPr>
                <w:sz w:val="20"/>
                <w:szCs w:val="20"/>
                <w:color w:val="auto"/>
              </w:rPr>
            </w:pPr>
            <w:r>
              <w:rPr>
                <w:rFonts w:ascii="Times New Roman" w:cs="Times New Roman" w:eastAsia="Times New Roman" w:hAnsi="Times New Roman"/>
                <w:sz w:val="10"/>
                <w:szCs w:val="10"/>
                <w:b w:val="1"/>
                <w:bCs w:val="1"/>
                <w:color w:val="auto"/>
                <w:w w:val="99"/>
              </w:rPr>
              <w:t>Jurisdiction of Incorporation</w:t>
            </w:r>
          </w:p>
        </w:tc>
        <w:tc>
          <w:tcPr>
            <w:tcW w:w="172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rPr>
              <w:t>Number</w:t>
            </w:r>
          </w:p>
        </w:tc>
      </w:tr>
      <w:tr>
        <w:trPr>
          <w:trHeight w:val="90"/>
        </w:trPr>
        <w:tc>
          <w:tcPr>
            <w:tcW w:w="2340" w:type="dxa"/>
            <w:vAlign w:val="bottom"/>
            <w:tcBorders>
              <w:top w:val="single" w:sz="8" w:color="auto"/>
            </w:tcBorders>
          </w:tcPr>
          <w:p>
            <w:pPr>
              <w:jc w:val="center"/>
              <w:spacing w:after="0" w:line="91" w:lineRule="exact"/>
              <w:rPr>
                <w:sz w:val="20"/>
                <w:szCs w:val="20"/>
                <w:color w:val="auto"/>
              </w:rPr>
            </w:pPr>
            <w:r>
              <w:rPr>
                <w:rFonts w:ascii="Times New Roman" w:cs="Times New Roman" w:eastAsia="Times New Roman" w:hAnsi="Times New Roman"/>
                <w:sz w:val="10"/>
                <w:szCs w:val="10"/>
                <w:b w:val="1"/>
                <w:bCs w:val="1"/>
                <w:color w:val="auto"/>
              </w:rPr>
              <w:t>Cemex Corp.</w:t>
            </w:r>
          </w:p>
        </w:tc>
        <w:tc>
          <w:tcPr>
            <w:tcW w:w="180" w:type="dxa"/>
            <w:vAlign w:val="bottom"/>
          </w:tcPr>
          <w:p>
            <w:pPr>
              <w:spacing w:after="0"/>
              <w:rPr>
                <w:sz w:val="7"/>
                <w:szCs w:val="7"/>
                <w:color w:val="auto"/>
              </w:rPr>
            </w:pPr>
          </w:p>
        </w:tc>
        <w:tc>
          <w:tcPr>
            <w:tcW w:w="2060" w:type="dxa"/>
            <w:vAlign w:val="bottom"/>
            <w:tcBorders>
              <w:top w:val="single" w:sz="8" w:color="auto"/>
            </w:tcBorders>
          </w:tcPr>
          <w:p>
            <w:pPr>
              <w:jc w:val="center"/>
              <w:spacing w:after="0" w:line="91" w:lineRule="exact"/>
              <w:rPr>
                <w:sz w:val="20"/>
                <w:szCs w:val="20"/>
                <w:color w:val="auto"/>
              </w:rPr>
            </w:pPr>
            <w:r>
              <w:rPr>
                <w:rFonts w:ascii="Times New Roman" w:cs="Times New Roman" w:eastAsia="Times New Roman" w:hAnsi="Times New Roman"/>
                <w:sz w:val="10"/>
                <w:szCs w:val="10"/>
                <w:b w:val="1"/>
                <w:bCs w:val="1"/>
                <w:color w:val="auto"/>
              </w:rPr>
              <w:t>590 Madison Avenue, 27th Floor</w:t>
            </w:r>
          </w:p>
        </w:tc>
        <w:tc>
          <w:tcPr>
            <w:tcW w:w="180" w:type="dxa"/>
            <w:vAlign w:val="bottom"/>
          </w:tcPr>
          <w:p>
            <w:pPr>
              <w:spacing w:after="0"/>
              <w:rPr>
                <w:sz w:val="7"/>
                <w:szCs w:val="7"/>
                <w:color w:val="auto"/>
              </w:rPr>
            </w:pPr>
          </w:p>
        </w:tc>
        <w:tc>
          <w:tcPr>
            <w:tcW w:w="2080" w:type="dxa"/>
            <w:vAlign w:val="bottom"/>
            <w:tcBorders>
              <w:top w:val="single" w:sz="8" w:color="auto"/>
            </w:tcBorders>
          </w:tcPr>
          <w:p>
            <w:pPr>
              <w:jc w:val="center"/>
              <w:spacing w:after="0" w:line="91" w:lineRule="exact"/>
              <w:rPr>
                <w:sz w:val="20"/>
                <w:szCs w:val="20"/>
                <w:color w:val="auto"/>
              </w:rPr>
            </w:pPr>
            <w:r>
              <w:rPr>
                <w:rFonts w:ascii="Times New Roman" w:cs="Times New Roman" w:eastAsia="Times New Roman" w:hAnsi="Times New Roman"/>
                <w:sz w:val="10"/>
                <w:szCs w:val="10"/>
                <w:b w:val="1"/>
                <w:bCs w:val="1"/>
                <w:color w:val="auto"/>
              </w:rPr>
              <w:t>Delaware</w:t>
            </w:r>
          </w:p>
        </w:tc>
        <w:tc>
          <w:tcPr>
            <w:tcW w:w="120" w:type="dxa"/>
            <w:vAlign w:val="bottom"/>
          </w:tcPr>
          <w:p>
            <w:pPr>
              <w:spacing w:after="0"/>
              <w:rPr>
                <w:sz w:val="7"/>
                <w:szCs w:val="7"/>
                <w:color w:val="auto"/>
              </w:rPr>
            </w:pPr>
          </w:p>
        </w:tc>
        <w:tc>
          <w:tcPr>
            <w:tcW w:w="1720" w:type="dxa"/>
            <w:vAlign w:val="bottom"/>
            <w:tcBorders>
              <w:top w:val="single" w:sz="8" w:color="auto"/>
            </w:tcBorders>
          </w:tcPr>
          <w:p>
            <w:pPr>
              <w:jc w:val="center"/>
              <w:spacing w:after="0" w:line="91" w:lineRule="exact"/>
              <w:rPr>
                <w:sz w:val="20"/>
                <w:szCs w:val="20"/>
                <w:color w:val="auto"/>
              </w:rPr>
            </w:pPr>
            <w:r>
              <w:rPr>
                <w:rFonts w:ascii="Times New Roman" w:cs="Times New Roman" w:eastAsia="Times New Roman" w:hAnsi="Times New Roman"/>
                <w:sz w:val="10"/>
                <w:szCs w:val="10"/>
                <w:b w:val="1"/>
                <w:bCs w:val="1"/>
                <w:color w:val="auto"/>
              </w:rPr>
              <w:t>74-2501935</w:t>
            </w:r>
          </w:p>
        </w:tc>
      </w:tr>
      <w:tr>
        <w:trPr>
          <w:trHeight w:val="117"/>
        </w:trPr>
        <w:tc>
          <w:tcPr>
            <w:tcW w:w="23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240" w:type="dxa"/>
            <w:vAlign w:val="bottom"/>
            <w:gridSpan w:val="2"/>
          </w:tcPr>
          <w:p>
            <w:pPr>
              <w:jc w:val="center"/>
              <w:ind w:right="180"/>
              <w:spacing w:after="0" w:line="118" w:lineRule="exact"/>
              <w:rPr>
                <w:sz w:val="20"/>
                <w:szCs w:val="20"/>
                <w:color w:val="auto"/>
              </w:rPr>
            </w:pPr>
            <w:r>
              <w:rPr>
                <w:rFonts w:ascii="Times New Roman" w:cs="Times New Roman" w:eastAsia="Times New Roman" w:hAnsi="Times New Roman"/>
                <w:sz w:val="11"/>
                <w:szCs w:val="11"/>
                <w:b w:val="1"/>
                <w:bCs w:val="1"/>
                <w:color w:val="auto"/>
              </w:rPr>
              <w:t>New York, New York 10022</w:t>
            </w:r>
          </w:p>
        </w:tc>
        <w:tc>
          <w:tcPr>
            <w:tcW w:w="20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720" w:type="dxa"/>
            <w:vAlign w:val="bottom"/>
          </w:tcPr>
          <w:p>
            <w:pPr>
              <w:spacing w:after="0"/>
              <w:rPr>
                <w:sz w:val="10"/>
                <w:szCs w:val="10"/>
                <w:color w:val="auto"/>
              </w:rPr>
            </w:pPr>
          </w:p>
        </w:tc>
      </w:tr>
      <w:tr>
        <w:trPr>
          <w:trHeight w:val="149"/>
        </w:trPr>
        <w:tc>
          <w:tcPr>
            <w:tcW w:w="2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40" w:type="dxa"/>
            <w:vAlign w:val="bottom"/>
            <w:gridSpan w:val="2"/>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rPr>
              <w:t>Telephone: (212) 317-6011</w:t>
            </w:r>
          </w:p>
        </w:tc>
        <w:tc>
          <w:tcPr>
            <w:tcW w:w="2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20" w:type="dxa"/>
            <w:vAlign w:val="bottom"/>
          </w:tcPr>
          <w:p>
            <w:pPr>
              <w:spacing w:after="0"/>
              <w:rPr>
                <w:sz w:val="12"/>
                <w:szCs w:val="12"/>
                <w:color w:val="auto"/>
              </w:rPr>
            </w:pPr>
          </w:p>
        </w:tc>
      </w:tr>
      <w:tr>
        <w:trPr>
          <w:trHeight w:val="72"/>
        </w:trPr>
        <w:tc>
          <w:tcPr>
            <w:tcW w:w="2340" w:type="dxa"/>
            <w:vAlign w:val="bottom"/>
            <w:tcBorders>
              <w:bottom w:val="single" w:sz="8" w:color="auto"/>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2060" w:type="dxa"/>
            <w:vAlign w:val="bottom"/>
            <w:tcBorders>
              <w:bottom w:val="single" w:sz="8" w:color="auto"/>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208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1720" w:type="dxa"/>
            <w:vAlign w:val="bottom"/>
            <w:tcBorders>
              <w:bottom w:val="single" w:sz="8" w:color="auto"/>
            </w:tcBorders>
          </w:tcPr>
          <w:p>
            <w:pPr>
              <w:spacing w:after="0"/>
              <w:rPr>
                <w:sz w:val="6"/>
                <w:szCs w:val="6"/>
                <w:color w:val="auto"/>
              </w:rPr>
            </w:pPr>
          </w:p>
        </w:tc>
      </w:tr>
      <w:tr>
        <w:trPr>
          <w:trHeight w:val="33"/>
        </w:trPr>
        <w:tc>
          <w:tcPr>
            <w:tcW w:w="23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r>
    </w:tbl>
    <w:p>
      <w:pPr>
        <w:sectPr>
          <w:pgSz w:w="11900" w:h="16838" w:orient="portrait"/>
          <w:cols w:equalWidth="0" w:num="1">
            <w:col w:w="9019"/>
          </w:cols>
          <w:pgMar w:left="1440" w:top="205" w:right="1440" w:bottom="1440" w:gutter="0" w:footer="0" w:header="0"/>
        </w:sectPr>
      </w:pPr>
    </w:p>
    <w:bookmarkStart w:id="1" w:name="page2"/>
    <w:bookmarkEnd w:id="1"/>
    <w:p>
      <w:pPr>
        <w:ind w:left="160"/>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00265" cy="33020"/>
                    </a:xfrm>
                    <a:prstGeom prst="rect">
                      <a:avLst/>
                    </a:prstGeom>
                    <a:noFill/>
                  </pic:spPr>
                </pic:pic>
              </a:graphicData>
            </a:graphic>
          </wp:anchor>
        </w:drawing>
        <w:t>Prospectus</w:t>
      </w:r>
    </w:p>
    <w:p>
      <w:pPr>
        <w:spacing w:after="0" w:line="1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34"/>
          <w:szCs w:val="34"/>
          <w:b w:val="1"/>
          <w:bCs w:val="1"/>
          <w:color w:val="auto"/>
        </w:rPr>
        <w:t>Cemex, S.A.B. de C.V.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2008505</wp:posOffset>
            </wp:positionH>
            <wp:positionV relativeFrom="paragraph">
              <wp:posOffset>147955</wp:posOffset>
            </wp:positionV>
            <wp:extent cx="1702435" cy="3175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702435" cy="3175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Debt Securities</w:t>
      </w:r>
    </w:p>
    <w:p>
      <w:pPr>
        <w:spacing w:after="0" w:line="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Guarantees of Debt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2279015</wp:posOffset>
            </wp:positionH>
            <wp:positionV relativeFrom="paragraph">
              <wp:posOffset>175895</wp:posOffset>
            </wp:positionV>
            <wp:extent cx="1162050" cy="698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162050" cy="6985"/>
                    </a:xfrm>
                    <a:prstGeom prst="rect">
                      <a:avLst/>
                    </a:prstGeom>
                    <a:noFill/>
                  </pic:spPr>
                </pic:pic>
              </a:graphicData>
            </a:graphic>
          </wp:anchor>
        </w:drawing>
      </w:r>
    </w:p>
    <w:p>
      <w:pPr>
        <w:spacing w:after="0" w:line="200" w:lineRule="exact"/>
        <w:rPr>
          <w:sz w:val="20"/>
          <w:szCs w:val="20"/>
          <w:color w:val="auto"/>
        </w:rPr>
      </w:pPr>
    </w:p>
    <w:p>
      <w:pPr>
        <w:spacing w:after="0" w:line="223" w:lineRule="exact"/>
        <w:rPr>
          <w:sz w:val="20"/>
          <w:szCs w:val="20"/>
          <w:color w:val="auto"/>
        </w:rPr>
      </w:pPr>
    </w:p>
    <w:p>
      <w:pPr>
        <w:ind w:left="160" w:right="199" w:firstLine="347"/>
        <w:spacing w:after="0" w:line="271" w:lineRule="auto"/>
        <w:rPr>
          <w:sz w:val="20"/>
          <w:szCs w:val="20"/>
          <w:color w:val="auto"/>
        </w:rPr>
      </w:pPr>
      <w:r>
        <w:rPr>
          <w:rFonts w:ascii="Times New Roman" w:cs="Times New Roman" w:eastAsia="Times New Roman" w:hAnsi="Times New Roman"/>
          <w:sz w:val="14"/>
          <w:szCs w:val="14"/>
          <w:color w:val="auto"/>
        </w:rPr>
        <w:t>We may offer, issue and sell, together or separately, from time to time in one or more offerings, debt securities, which may be issued in one or more series and which may be senior debt securities or subordinated debt securities. Certain of our subsidiaries may guarantee the debt securities offered under this prospectus.</w:t>
      </w:r>
    </w:p>
    <w:p>
      <w:pPr>
        <w:spacing w:after="0" w:line="136" w:lineRule="exact"/>
        <w:rPr>
          <w:sz w:val="20"/>
          <w:szCs w:val="20"/>
          <w:color w:val="auto"/>
        </w:rPr>
      </w:pPr>
    </w:p>
    <w:p>
      <w:pPr>
        <w:ind w:left="160" w:right="259" w:firstLine="347"/>
        <w:spacing w:after="0" w:line="288" w:lineRule="auto"/>
        <w:rPr>
          <w:sz w:val="20"/>
          <w:szCs w:val="20"/>
          <w:color w:val="auto"/>
        </w:rPr>
      </w:pPr>
      <w:r>
        <w:rPr>
          <w:rFonts w:ascii="Times New Roman" w:cs="Times New Roman" w:eastAsia="Times New Roman" w:hAnsi="Times New Roman"/>
          <w:sz w:val="14"/>
          <w:szCs w:val="14"/>
          <w:color w:val="auto"/>
        </w:rPr>
        <w:t>We will provide the specific prices and terms of these securities in one or more supplements to this prospectus at the time of offering. You should read this prospectus and the accompanying prospectus supplement carefully before you make your investment decision.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2279015</wp:posOffset>
            </wp:positionH>
            <wp:positionV relativeFrom="paragraph">
              <wp:posOffset>162560</wp:posOffset>
            </wp:positionV>
            <wp:extent cx="1162050" cy="698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162050" cy="6985"/>
                    </a:xfrm>
                    <a:prstGeom prst="rect">
                      <a:avLst/>
                    </a:prstGeom>
                    <a:noFill/>
                  </pic:spPr>
                </pic:pic>
              </a:graphicData>
            </a:graphic>
          </wp:anchor>
        </w:drawing>
      </w:r>
    </w:p>
    <w:p>
      <w:pPr>
        <w:spacing w:after="0" w:line="40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b w:val="1"/>
          <w:bCs w:val="1"/>
          <w:color w:val="auto"/>
        </w:rPr>
        <w:t>This prospectus may not be used to sell securities unless accompanied by a 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2279015</wp:posOffset>
            </wp:positionH>
            <wp:positionV relativeFrom="paragraph">
              <wp:posOffset>192405</wp:posOffset>
            </wp:positionV>
            <wp:extent cx="1162050" cy="698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162050" cy="6985"/>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p>
      <w:pPr>
        <w:ind w:left="160" w:right="759" w:firstLine="347"/>
        <w:spacing w:after="0" w:line="272" w:lineRule="auto"/>
        <w:rPr>
          <w:sz w:val="20"/>
          <w:szCs w:val="20"/>
          <w:color w:val="auto"/>
        </w:rPr>
      </w:pPr>
      <w:r>
        <w:rPr>
          <w:rFonts w:ascii="Times New Roman" w:cs="Times New Roman" w:eastAsia="Times New Roman" w:hAnsi="Times New Roman"/>
          <w:sz w:val="17"/>
          <w:szCs w:val="17"/>
          <w:b w:val="1"/>
          <w:bCs w:val="1"/>
          <w:color w:val="auto"/>
        </w:rPr>
        <w:t>Investing in our securities involves a number of risks. See “</w:t>
      </w:r>
      <w:r>
        <w:rPr>
          <w:rFonts w:ascii="Times New Roman" w:cs="Times New Roman" w:eastAsia="Times New Roman" w:hAnsi="Times New Roman"/>
          <w:sz w:val="17"/>
          <w:szCs w:val="17"/>
          <w:b w:val="1"/>
          <w:bCs w:val="1"/>
          <w:u w:val="single" w:color="auto"/>
          <w:color w:val="0000EE"/>
        </w:rPr>
        <w:t>Risk Factors</w:t>
      </w:r>
      <w:r>
        <w:rPr>
          <w:rFonts w:ascii="Times New Roman" w:cs="Times New Roman" w:eastAsia="Times New Roman" w:hAnsi="Times New Roman"/>
          <w:sz w:val="17"/>
          <w:szCs w:val="17"/>
          <w:b w:val="1"/>
          <w:bCs w:val="1"/>
          <w:color w:val="auto"/>
        </w:rPr>
        <w:t>” on page 10 before you make your investment decision.</w:t>
      </w:r>
    </w:p>
    <w:p>
      <w:pPr>
        <w:spacing w:after="0" w:line="120" w:lineRule="exact"/>
        <w:rPr>
          <w:sz w:val="20"/>
          <w:szCs w:val="20"/>
          <w:color w:val="auto"/>
        </w:rPr>
      </w:pPr>
    </w:p>
    <w:p>
      <w:pPr>
        <w:jc w:val="both"/>
        <w:ind w:left="160" w:right="559" w:firstLine="347"/>
        <w:spacing w:after="0" w:line="288" w:lineRule="auto"/>
        <w:rPr>
          <w:sz w:val="20"/>
          <w:szCs w:val="20"/>
          <w:color w:val="auto"/>
        </w:rPr>
      </w:pPr>
      <w:r>
        <w:rPr>
          <w:rFonts w:ascii="Times New Roman" w:cs="Times New Roman" w:eastAsia="Times New Roman" w:hAnsi="Times New Roman"/>
          <w:sz w:val="14"/>
          <w:szCs w:val="14"/>
          <w:color w:val="auto"/>
        </w:rPr>
        <w:t>We may offer securities through underwriting syndicates managed or co-managed by one or more underwriters or dealers, through agents or directly to purchasers. If required, the prospectus supplement for each offering of securities will describe the plan of distribution for that offering.</w:t>
      </w:r>
    </w:p>
    <w:p>
      <w:pPr>
        <w:spacing w:after="0" w:line="12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Each prospectus supplement will indicate whether the securities offered thereby will be listed on any securities exchange.</w:t>
      </w:r>
    </w:p>
    <w:p>
      <w:pPr>
        <w:spacing w:after="0" w:line="177" w:lineRule="exact"/>
        <w:rPr>
          <w:sz w:val="20"/>
          <w:szCs w:val="20"/>
          <w:color w:val="auto"/>
        </w:rPr>
      </w:pPr>
    </w:p>
    <w:p>
      <w:pPr>
        <w:ind w:left="160" w:right="299" w:firstLine="347"/>
        <w:spacing w:after="0" w:line="272" w:lineRule="auto"/>
        <w:rPr>
          <w:sz w:val="20"/>
          <w:szCs w:val="20"/>
          <w:color w:val="auto"/>
        </w:rPr>
      </w:pPr>
      <w:r>
        <w:rPr>
          <w:rFonts w:ascii="Times New Roman" w:cs="Times New Roman" w:eastAsia="Times New Roman" w:hAnsi="Times New Roman"/>
          <w:sz w:val="14"/>
          <w:szCs w:val="14"/>
          <w:b w:val="1"/>
          <w:bCs w:val="1"/>
          <w:color w:val="auto"/>
        </w:rPr>
        <w:t>Neither the Securities and Exchange Commission nor any state securities commission has approved or disapproved of these securities or determined if this prospectus or any accompanying prospectus supplement is truthful or complete. Any representation to the contrary is a criminal offense.</w:t>
      </w:r>
    </w:p>
    <w:p>
      <w:pPr>
        <w:spacing w:after="0" w:line="134" w:lineRule="exact"/>
        <w:rPr>
          <w:sz w:val="20"/>
          <w:szCs w:val="20"/>
          <w:color w:val="auto"/>
        </w:rPr>
      </w:pPr>
    </w:p>
    <w:p>
      <w:pPr>
        <w:jc w:val="both"/>
        <w:ind w:left="160" w:right="579" w:firstLine="347"/>
        <w:spacing w:after="0" w:line="272" w:lineRule="auto"/>
        <w:rPr>
          <w:sz w:val="20"/>
          <w:szCs w:val="20"/>
          <w:color w:val="auto"/>
        </w:rPr>
      </w:pPr>
      <w:r>
        <w:rPr>
          <w:rFonts w:ascii="Times New Roman" w:cs="Times New Roman" w:eastAsia="Times New Roman" w:hAnsi="Times New Roman"/>
          <w:sz w:val="14"/>
          <w:szCs w:val="14"/>
          <w:b w:val="1"/>
          <w:bCs w:val="1"/>
          <w:color w:val="auto"/>
        </w:rPr>
        <w:t>THE SECURITIES HAVE NOT BEEN AND WILL NOT BE REGISTERED WITH THE MEXICAN NATIONAL SECURITIES REGISTRY (</w:t>
      </w:r>
      <w:r>
        <w:rPr>
          <w:rFonts w:ascii="Times New Roman" w:cs="Times New Roman" w:eastAsia="Times New Roman" w:hAnsi="Times New Roman"/>
          <w:sz w:val="14"/>
          <w:szCs w:val="14"/>
          <w:b w:val="1"/>
          <w:bCs w:val="1"/>
          <w:i w:val="1"/>
          <w:iCs w:val="1"/>
          <w:color w:val="auto"/>
        </w:rPr>
        <w:t>REGISTRO NACIONAL DE VALORES</w:t>
      </w:r>
      <w:r>
        <w:rPr>
          <w:rFonts w:ascii="Times New Roman" w:cs="Times New Roman" w:eastAsia="Times New Roman" w:hAnsi="Times New Roman"/>
          <w:sz w:val="14"/>
          <w:szCs w:val="14"/>
          <w:b w:val="1"/>
          <w:bCs w:val="1"/>
          <w:color w:val="auto"/>
        </w:rPr>
        <w:t>) (THE “RNV”) MAINTAINED BY THE MEXICAN NATIONAL BANKING AND SECURITIES COMMISSION (</w:t>
      </w:r>
      <w:r>
        <w:rPr>
          <w:rFonts w:ascii="Times New Roman" w:cs="Times New Roman" w:eastAsia="Times New Roman" w:hAnsi="Times New Roman"/>
          <w:sz w:val="14"/>
          <w:szCs w:val="14"/>
          <w:b w:val="1"/>
          <w:bCs w:val="1"/>
          <w:i w:val="1"/>
          <w:iCs w:val="1"/>
          <w:color w:val="auto"/>
        </w:rPr>
        <w:t>COMISIÓN NACIONAL BANCARIA Y DE VALORES</w:t>
      </w:r>
      <w:r>
        <w:rPr>
          <w:rFonts w:ascii="Times New Roman" w:cs="Times New Roman" w:eastAsia="Times New Roman" w:hAnsi="Times New Roman"/>
          <w:sz w:val="14"/>
          <w:szCs w:val="14"/>
          <w:b w:val="1"/>
          <w:bCs w:val="1"/>
          <w:color w:val="auto"/>
        </w:rPr>
        <w:t>) (THE “CNBV”).</w:t>
      </w:r>
    </w:p>
    <w:p>
      <w:pPr>
        <w:spacing w:after="0" w:line="134" w:lineRule="exact"/>
        <w:rPr>
          <w:sz w:val="20"/>
          <w:szCs w:val="20"/>
          <w:color w:val="auto"/>
        </w:rPr>
      </w:pPr>
    </w:p>
    <w:p>
      <w:pPr>
        <w:ind w:left="160" w:right="219" w:firstLine="347"/>
        <w:spacing w:after="0" w:line="258" w:lineRule="auto"/>
        <w:rPr>
          <w:sz w:val="20"/>
          <w:szCs w:val="20"/>
          <w:color w:val="auto"/>
        </w:rPr>
      </w:pPr>
      <w:r>
        <w:rPr>
          <w:rFonts w:ascii="Times New Roman" w:cs="Times New Roman" w:eastAsia="Times New Roman" w:hAnsi="Times New Roman"/>
          <w:sz w:val="14"/>
          <w:szCs w:val="14"/>
          <w:b w:val="1"/>
          <w:bCs w:val="1"/>
          <w:color w:val="auto"/>
        </w:rPr>
        <w:t>THIS PROSPECTUS IS SOLELY OUR RESPONSIBILITY AND HAS NOT BEEN REVIEWED OR AUTHORIZED BY THE CNBV. THE TERMS AND CONDITIONS OF ANY OFFER OF SECURITIES WILL BE NOTIFIED TO THE CNBV FOR INFORMATIONAL PURPOSES ONLY AND THE DELIVERY TO AND THE RECEIPT BY THE CNBV OF SUCH NOTICE DOES NOT CONSTITUTE OR IMPLY ANY CERTIFICATION AS TO THE INVESTMENT QUALITY OF THE SECURITIES OR OF OUR SOLVENCY, LIQUIDITY OR CREDIT QUALITY OR THE ACCURACY OR COMPLETENESS OF THE INFORMATION SET FORTH IN THIS PROSPECTUS. THE SECURITIES MAY NOT BE OFFERED, SOLD OR SUBJECT TO INTERMEDIATION ACTIVITIES IN MEXICO, ABSENT AN AVAILABLE EXEMPTION UNDER THE LEY DEL MERCADO DE VALORES (MEXICAN SECURITIES MARKET LAW). IN MAKING AN INVESTMENT DECISION, ALL INVESTORS, INCLUDING ANY MEXICAN CITIZEN WHO MAY ACQUIRE SECURITIES FROM TIME TO TIME, MUST RELY ON THEIR OWN EXAMINATION OF US AND ANY SUBSIDIARY GUARANTOR.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2279015</wp:posOffset>
            </wp:positionH>
            <wp:positionV relativeFrom="paragraph">
              <wp:posOffset>170180</wp:posOffset>
            </wp:positionV>
            <wp:extent cx="1162050" cy="698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162050" cy="6985"/>
                    </a:xfrm>
                    <a:prstGeom prst="rect">
                      <a:avLst/>
                    </a:prstGeom>
                    <a:noFill/>
                  </pic:spPr>
                </pic:pic>
              </a:graphicData>
            </a:graphic>
          </wp:anchor>
        </w:drawing>
      </w: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The date of this prospectus is June 1, 2026</w:t>
      </w:r>
    </w:p>
    <w:p>
      <w:pPr>
        <w:sectPr>
          <w:pgSz w:w="11900" w:h="16838" w:orient="portrait"/>
          <w:cols w:equalWidth="0" w:num="1">
            <w:col w:w="9019"/>
          </w:cols>
          <w:pgMar w:left="1440" w:top="240" w:right="1440" w:bottom="1440" w:gutter="0" w:footer="0" w:header="0"/>
        </w:sectPr>
      </w:pPr>
    </w:p>
    <w:bookmarkStart w:id="2" w:name="page3"/>
    <w:bookmarkEnd w:id="2"/>
    <w:tbl>
      <w:tblPr>
        <w:tblLayout w:type="fixed"/>
        <w:tblInd w:w="160" w:type="dxa"/>
        <w:tblCellMar>
          <w:top w:w="0" w:type="dxa"/>
          <w:left w:w="0" w:type="dxa"/>
          <w:bottom w:w="0" w:type="dxa"/>
          <w:right w:w="0" w:type="dxa"/>
        </w:tblCellMar>
      </w:tblPr>
      <w:tr>
        <w:trPr>
          <w:trHeight w:val="186"/>
        </w:trPr>
        <w:tc>
          <w:tcPr>
            <w:tcW w:w="1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760" w:type="dxa"/>
            <w:vAlign w:val="bottom"/>
            <w:gridSpan w:val="6"/>
          </w:tcPr>
          <w:p>
            <w:pPr>
              <w:ind w:left="100"/>
              <w:spacing w:after="0"/>
              <w:rPr>
                <w:sz w:val="20"/>
                <w:szCs w:val="20"/>
                <w:color w:val="auto"/>
              </w:rPr>
            </w:pPr>
            <w:r>
              <w:rPr>
                <w:rFonts w:ascii="Times New Roman" w:cs="Times New Roman" w:eastAsia="Times New Roman" w:hAnsi="Times New Roman"/>
                <w:sz w:val="14"/>
                <w:szCs w:val="14"/>
                <w:b w:val="1"/>
                <w:bCs w:val="1"/>
                <w:color w:val="auto"/>
              </w:rPr>
              <w:t>TABLE OF CONTENTS</w:t>
            </w:r>
          </w:p>
        </w:tc>
        <w:tc>
          <w:tcPr>
            <w:tcW w:w="400" w:type="dxa"/>
            <w:vAlign w:val="bottom"/>
          </w:tcPr>
          <w:p>
            <w:pPr>
              <w:spacing w:after="0"/>
              <w:rPr>
                <w:sz w:val="16"/>
                <w:szCs w:val="16"/>
                <w:color w:val="auto"/>
              </w:rPr>
            </w:pPr>
          </w:p>
        </w:tc>
      </w:tr>
      <w:tr>
        <w:trPr>
          <w:trHeight w:val="330"/>
        </w:trPr>
        <w:tc>
          <w:tcPr>
            <w:tcW w:w="8240" w:type="dxa"/>
            <w:vAlign w:val="bottom"/>
            <w:gridSpan w:val="16"/>
          </w:tcPr>
          <w:p>
            <w:pPr>
              <w:spacing w:after="0"/>
              <w:rPr>
                <w:sz w:val="20"/>
                <w:szCs w:val="20"/>
                <w:color w:val="auto"/>
              </w:rPr>
            </w:pPr>
            <w:r>
              <w:rPr>
                <w:rFonts w:ascii="Times New Roman" w:cs="Times New Roman" w:eastAsia="Times New Roman" w:hAnsi="Times New Roman"/>
                <w:sz w:val="14"/>
                <w:szCs w:val="14"/>
                <w:color w:val="0000EE"/>
              </w:rPr>
              <w:t>ABOUT THIS PROSPECTUS</w:t>
            </w: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r>
      <w:tr>
        <w:trPr>
          <w:trHeight w:val="20"/>
        </w:trPr>
        <w:tc>
          <w:tcPr>
            <w:tcW w:w="14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150"/>
        </w:trPr>
        <w:tc>
          <w:tcPr>
            <w:tcW w:w="8240" w:type="dxa"/>
            <w:vAlign w:val="bottom"/>
            <w:gridSpan w:val="16"/>
          </w:tcPr>
          <w:p>
            <w:pPr>
              <w:spacing w:after="0" w:line="150" w:lineRule="exact"/>
              <w:rPr>
                <w:sz w:val="20"/>
                <w:szCs w:val="20"/>
                <w:color w:val="auto"/>
              </w:rPr>
            </w:pPr>
            <w:r>
              <w:rPr>
                <w:rFonts w:ascii="Times New Roman" w:cs="Times New Roman" w:eastAsia="Times New Roman" w:hAnsi="Times New Roman"/>
                <w:sz w:val="14"/>
                <w:szCs w:val="14"/>
                <w:color w:val="0000EE"/>
              </w:rPr>
              <w:t>WHERE YOU CAN FIND MORE INFORMATION</w:t>
            </w:r>
          </w:p>
        </w:tc>
        <w:tc>
          <w:tcPr>
            <w:tcW w:w="400" w:type="dxa"/>
            <w:vAlign w:val="bottom"/>
          </w:tcPr>
          <w:p>
            <w:pPr>
              <w:jc w:val="right"/>
              <w:spacing w:after="0" w:line="150" w:lineRule="exact"/>
              <w:rPr>
                <w:sz w:val="20"/>
                <w:szCs w:val="20"/>
                <w:color w:val="auto"/>
              </w:rPr>
            </w:pPr>
            <w:r>
              <w:rPr>
                <w:rFonts w:ascii="Times New Roman" w:cs="Times New Roman" w:eastAsia="Times New Roman" w:hAnsi="Times New Roman"/>
                <w:sz w:val="14"/>
                <w:szCs w:val="14"/>
                <w:color w:val="auto"/>
              </w:rPr>
              <w:t>2</w:t>
            </w:r>
          </w:p>
        </w:tc>
      </w:tr>
      <w:tr>
        <w:trPr>
          <w:trHeight w:val="20"/>
        </w:trPr>
        <w:tc>
          <w:tcPr>
            <w:tcW w:w="14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150"/>
        </w:trPr>
        <w:tc>
          <w:tcPr>
            <w:tcW w:w="8240" w:type="dxa"/>
            <w:vAlign w:val="bottom"/>
            <w:gridSpan w:val="16"/>
          </w:tcPr>
          <w:p>
            <w:pPr>
              <w:spacing w:after="0" w:line="150" w:lineRule="exact"/>
              <w:rPr>
                <w:sz w:val="20"/>
                <w:szCs w:val="20"/>
                <w:color w:val="auto"/>
              </w:rPr>
            </w:pPr>
            <w:r>
              <w:rPr>
                <w:rFonts w:ascii="Times New Roman" w:cs="Times New Roman" w:eastAsia="Times New Roman" w:hAnsi="Times New Roman"/>
                <w:sz w:val="14"/>
                <w:szCs w:val="14"/>
                <w:color w:val="0000EE"/>
              </w:rPr>
              <w:t>INCORPORATION OF CERTAIN DOCUMENTS BY REFERENCE</w:t>
            </w:r>
          </w:p>
        </w:tc>
        <w:tc>
          <w:tcPr>
            <w:tcW w:w="400" w:type="dxa"/>
            <w:vAlign w:val="bottom"/>
          </w:tcPr>
          <w:p>
            <w:pPr>
              <w:jc w:val="right"/>
              <w:spacing w:after="0" w:line="150" w:lineRule="exact"/>
              <w:rPr>
                <w:sz w:val="20"/>
                <w:szCs w:val="20"/>
                <w:color w:val="auto"/>
              </w:rPr>
            </w:pPr>
            <w:r>
              <w:rPr>
                <w:rFonts w:ascii="Times New Roman" w:cs="Times New Roman" w:eastAsia="Times New Roman" w:hAnsi="Times New Roman"/>
                <w:sz w:val="14"/>
                <w:szCs w:val="14"/>
                <w:color w:val="auto"/>
              </w:rPr>
              <w:t>2</w:t>
            </w:r>
          </w:p>
        </w:tc>
      </w:tr>
      <w:tr>
        <w:trPr>
          <w:trHeight w:val="20"/>
        </w:trPr>
        <w:tc>
          <w:tcPr>
            <w:tcW w:w="14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60" w:type="dxa"/>
            <w:vAlign w:val="bottom"/>
            <w:gridSpan w:val="2"/>
            <w:shd w:val="clear" w:color="auto" w:fill="0000EE"/>
          </w:tcPr>
          <w:p>
            <w:pPr>
              <w:spacing w:after="0" w:line="20" w:lineRule="exact"/>
              <w:rPr>
                <w:sz w:val="1"/>
                <w:szCs w:val="1"/>
                <w:color w:val="auto"/>
              </w:rPr>
            </w:pPr>
          </w:p>
        </w:tc>
        <w:tc>
          <w:tcPr>
            <w:tcW w:w="78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150"/>
        </w:trPr>
        <w:tc>
          <w:tcPr>
            <w:tcW w:w="8240" w:type="dxa"/>
            <w:vAlign w:val="bottom"/>
            <w:gridSpan w:val="16"/>
          </w:tcPr>
          <w:p>
            <w:pPr>
              <w:spacing w:after="0" w:line="150" w:lineRule="exact"/>
              <w:rPr>
                <w:sz w:val="20"/>
                <w:szCs w:val="20"/>
                <w:color w:val="auto"/>
              </w:rPr>
            </w:pPr>
            <w:r>
              <w:rPr>
                <w:rFonts w:ascii="Times New Roman" w:cs="Times New Roman" w:eastAsia="Times New Roman" w:hAnsi="Times New Roman"/>
                <w:sz w:val="14"/>
                <w:szCs w:val="14"/>
                <w:color w:val="0000EE"/>
              </w:rPr>
              <w:t>CAUTIONARY NOTE REGARDING FORWARD-LOOKING STATEMENTS</w:t>
            </w:r>
          </w:p>
        </w:tc>
        <w:tc>
          <w:tcPr>
            <w:tcW w:w="400" w:type="dxa"/>
            <w:vAlign w:val="bottom"/>
          </w:tcPr>
          <w:p>
            <w:pPr>
              <w:jc w:val="right"/>
              <w:spacing w:after="0" w:line="150" w:lineRule="exact"/>
              <w:rPr>
                <w:sz w:val="20"/>
                <w:szCs w:val="20"/>
                <w:color w:val="auto"/>
              </w:rPr>
            </w:pPr>
            <w:r>
              <w:rPr>
                <w:rFonts w:ascii="Times New Roman" w:cs="Times New Roman" w:eastAsia="Times New Roman" w:hAnsi="Times New Roman"/>
                <w:sz w:val="14"/>
                <w:szCs w:val="14"/>
                <w:color w:val="auto"/>
              </w:rPr>
              <w:t>3</w:t>
            </w:r>
          </w:p>
        </w:tc>
      </w:tr>
      <w:tr>
        <w:trPr>
          <w:trHeight w:val="20"/>
        </w:trPr>
        <w:tc>
          <w:tcPr>
            <w:tcW w:w="14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60" w:type="dxa"/>
            <w:vAlign w:val="bottom"/>
            <w:gridSpan w:val="2"/>
            <w:shd w:val="clear" w:color="auto" w:fill="0000EE"/>
          </w:tcPr>
          <w:p>
            <w:pPr>
              <w:spacing w:after="0" w:line="20" w:lineRule="exact"/>
              <w:rPr>
                <w:sz w:val="1"/>
                <w:szCs w:val="1"/>
                <w:color w:val="auto"/>
              </w:rPr>
            </w:pPr>
          </w:p>
        </w:tc>
        <w:tc>
          <w:tcPr>
            <w:tcW w:w="78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60" w:type="dxa"/>
            <w:vAlign w:val="bottom"/>
            <w:gridSpan w:val="2"/>
            <w:shd w:val="clear" w:color="auto" w:fill="0000EE"/>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150"/>
        </w:trPr>
        <w:tc>
          <w:tcPr>
            <w:tcW w:w="8240" w:type="dxa"/>
            <w:vAlign w:val="bottom"/>
            <w:gridSpan w:val="16"/>
          </w:tcPr>
          <w:p>
            <w:pPr>
              <w:spacing w:after="0" w:line="150" w:lineRule="exact"/>
              <w:rPr>
                <w:sz w:val="20"/>
                <w:szCs w:val="20"/>
                <w:color w:val="auto"/>
              </w:rPr>
            </w:pPr>
            <w:r>
              <w:rPr>
                <w:rFonts w:ascii="Times New Roman" w:cs="Times New Roman" w:eastAsia="Times New Roman" w:hAnsi="Times New Roman"/>
                <w:sz w:val="14"/>
                <w:szCs w:val="14"/>
                <w:color w:val="0000EE"/>
              </w:rPr>
              <w:t>CAUTIONARY STATEMENT REGARDING ENVIRONMENTAL, SOCIAL, AND GOVERNANCE (“ESG”) AND SUSTAINABILITY-</w:t>
            </w:r>
          </w:p>
        </w:tc>
        <w:tc>
          <w:tcPr>
            <w:tcW w:w="400" w:type="dxa"/>
            <w:vAlign w:val="bottom"/>
          </w:tcPr>
          <w:p>
            <w:pPr>
              <w:spacing w:after="0"/>
              <w:rPr>
                <w:sz w:val="13"/>
                <w:szCs w:val="13"/>
                <w:color w:val="auto"/>
              </w:rPr>
            </w:pPr>
          </w:p>
        </w:tc>
      </w:tr>
      <w:tr>
        <w:trPr>
          <w:trHeight w:val="150"/>
        </w:trPr>
        <w:tc>
          <w:tcPr>
            <w:tcW w:w="140" w:type="dxa"/>
            <w:vAlign w:val="bottom"/>
            <w:tcBorders>
              <w:top w:val="single" w:sz="8" w:color="0000EE"/>
            </w:tcBorders>
          </w:tcPr>
          <w:p>
            <w:pPr>
              <w:spacing w:after="0"/>
              <w:rPr>
                <w:sz w:val="13"/>
                <w:szCs w:val="13"/>
                <w:color w:val="auto"/>
              </w:rPr>
            </w:pPr>
          </w:p>
        </w:tc>
        <w:tc>
          <w:tcPr>
            <w:tcW w:w="7820" w:type="dxa"/>
            <w:vAlign w:val="bottom"/>
            <w:tcBorders>
              <w:top w:val="single" w:sz="8" w:color="0000EE"/>
            </w:tcBorders>
            <w:gridSpan w:val="14"/>
          </w:tcPr>
          <w:p>
            <w:pPr>
              <w:spacing w:after="0" w:line="150" w:lineRule="exact"/>
              <w:rPr>
                <w:sz w:val="20"/>
                <w:szCs w:val="20"/>
                <w:color w:val="auto"/>
              </w:rPr>
            </w:pPr>
            <w:r>
              <w:rPr>
                <w:rFonts w:ascii="Times New Roman" w:cs="Times New Roman" w:eastAsia="Times New Roman" w:hAnsi="Times New Roman"/>
                <w:sz w:val="14"/>
                <w:szCs w:val="14"/>
                <w:color w:val="0000EE"/>
              </w:rPr>
              <w:t>RELATED DATA, METRICS, AND METHODOLOGIES</w:t>
            </w:r>
          </w:p>
        </w:tc>
        <w:tc>
          <w:tcPr>
            <w:tcW w:w="280" w:type="dxa"/>
            <w:vAlign w:val="bottom"/>
          </w:tcPr>
          <w:p>
            <w:pPr>
              <w:spacing w:after="0"/>
              <w:rPr>
                <w:sz w:val="13"/>
                <w:szCs w:val="13"/>
                <w:color w:val="auto"/>
              </w:rPr>
            </w:pPr>
          </w:p>
        </w:tc>
        <w:tc>
          <w:tcPr>
            <w:tcW w:w="400" w:type="dxa"/>
            <w:vAlign w:val="bottom"/>
          </w:tcPr>
          <w:p>
            <w:pPr>
              <w:jc w:val="right"/>
              <w:spacing w:after="0" w:line="150" w:lineRule="exact"/>
              <w:rPr>
                <w:sz w:val="20"/>
                <w:szCs w:val="20"/>
                <w:color w:val="auto"/>
              </w:rPr>
            </w:pPr>
            <w:r>
              <w:rPr>
                <w:rFonts w:ascii="Times New Roman" w:cs="Times New Roman" w:eastAsia="Times New Roman" w:hAnsi="Times New Roman"/>
                <w:sz w:val="14"/>
                <w:szCs w:val="14"/>
                <w:color w:val="auto"/>
              </w:rPr>
              <w:t>7</w:t>
            </w:r>
          </w:p>
        </w:tc>
      </w:tr>
      <w:tr>
        <w:trPr>
          <w:trHeight w:val="20"/>
        </w:trPr>
        <w:tc>
          <w:tcPr>
            <w:tcW w:w="14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60" w:type="dxa"/>
            <w:vAlign w:val="bottom"/>
            <w:gridSpan w:val="2"/>
            <w:shd w:val="clear" w:color="auto" w:fill="0000EE"/>
          </w:tcPr>
          <w:p>
            <w:pPr>
              <w:spacing w:after="0" w:line="20" w:lineRule="exact"/>
              <w:rPr>
                <w:sz w:val="1"/>
                <w:szCs w:val="1"/>
                <w:color w:val="auto"/>
              </w:rPr>
            </w:pPr>
          </w:p>
        </w:tc>
        <w:tc>
          <w:tcPr>
            <w:tcW w:w="780" w:type="dxa"/>
            <w:vAlign w:val="bottom"/>
            <w:gridSpan w:val="2"/>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20" w:type="dxa"/>
            <w:vAlign w:val="bottom"/>
            <w:gridSpan w:val="3"/>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150"/>
        </w:trPr>
        <w:tc>
          <w:tcPr>
            <w:tcW w:w="8240" w:type="dxa"/>
            <w:vAlign w:val="bottom"/>
            <w:gridSpan w:val="16"/>
          </w:tcPr>
          <w:p>
            <w:pPr>
              <w:spacing w:after="0" w:line="150" w:lineRule="exact"/>
              <w:rPr>
                <w:sz w:val="20"/>
                <w:szCs w:val="20"/>
                <w:color w:val="auto"/>
              </w:rPr>
            </w:pPr>
            <w:r>
              <w:rPr>
                <w:rFonts w:ascii="Times New Roman" w:cs="Times New Roman" w:eastAsia="Times New Roman" w:hAnsi="Times New Roman"/>
                <w:sz w:val="14"/>
                <w:szCs w:val="14"/>
                <w:color w:val="0000EE"/>
              </w:rPr>
              <w:t>CAUTIONARY STATEMENT REGARDING FORWARD-LOOKING ESG OR SUSTAINABILITY STATEMENTS</w:t>
            </w:r>
          </w:p>
        </w:tc>
        <w:tc>
          <w:tcPr>
            <w:tcW w:w="400" w:type="dxa"/>
            <w:vAlign w:val="bottom"/>
          </w:tcPr>
          <w:p>
            <w:pPr>
              <w:jc w:val="right"/>
              <w:spacing w:after="0" w:line="150" w:lineRule="exact"/>
              <w:rPr>
                <w:sz w:val="20"/>
                <w:szCs w:val="20"/>
                <w:color w:val="auto"/>
              </w:rPr>
            </w:pPr>
            <w:r>
              <w:rPr>
                <w:rFonts w:ascii="Times New Roman" w:cs="Times New Roman" w:eastAsia="Times New Roman" w:hAnsi="Times New Roman"/>
                <w:sz w:val="14"/>
                <w:szCs w:val="14"/>
                <w:color w:val="auto"/>
              </w:rPr>
              <w:t>8</w:t>
            </w:r>
          </w:p>
        </w:tc>
      </w:tr>
      <w:tr>
        <w:trPr>
          <w:trHeight w:val="150"/>
        </w:trPr>
        <w:tc>
          <w:tcPr>
            <w:tcW w:w="1020" w:type="dxa"/>
            <w:vAlign w:val="bottom"/>
            <w:tcBorders>
              <w:top w:val="single" w:sz="8" w:color="0000EE"/>
              <w:bottom w:val="single" w:sz="8" w:color="0000EE"/>
            </w:tcBorders>
            <w:gridSpan w:val="4"/>
          </w:tcPr>
          <w:p>
            <w:pPr>
              <w:spacing w:after="0" w:line="150" w:lineRule="exact"/>
              <w:rPr>
                <w:sz w:val="20"/>
                <w:szCs w:val="20"/>
                <w:color w:val="auto"/>
              </w:rPr>
            </w:pPr>
            <w:r>
              <w:rPr>
                <w:rFonts w:ascii="Times New Roman" w:cs="Times New Roman" w:eastAsia="Times New Roman" w:hAnsi="Times New Roman"/>
                <w:sz w:val="14"/>
                <w:szCs w:val="14"/>
                <w:color w:val="0000EE"/>
                <w:w w:val="99"/>
              </w:rPr>
              <w:t>THE COMPANY</w:t>
            </w:r>
          </w:p>
        </w:tc>
        <w:tc>
          <w:tcPr>
            <w:tcW w:w="5700" w:type="dxa"/>
            <w:vAlign w:val="bottom"/>
            <w:tcBorders>
              <w:top w:val="single" w:sz="8" w:color="0000EE"/>
            </w:tcBorders>
            <w:gridSpan w:val="10"/>
          </w:tcPr>
          <w:p>
            <w:pPr>
              <w:spacing w:after="0"/>
              <w:rPr>
                <w:sz w:val="13"/>
                <w:szCs w:val="13"/>
                <w:color w:val="auto"/>
              </w:rPr>
            </w:pPr>
          </w:p>
        </w:tc>
        <w:tc>
          <w:tcPr>
            <w:tcW w:w="1520" w:type="dxa"/>
            <w:vAlign w:val="bottom"/>
            <w:gridSpan w:val="2"/>
          </w:tcPr>
          <w:p>
            <w:pPr>
              <w:spacing w:after="0"/>
              <w:rPr>
                <w:sz w:val="13"/>
                <w:szCs w:val="13"/>
                <w:color w:val="auto"/>
              </w:rPr>
            </w:pPr>
          </w:p>
        </w:tc>
        <w:tc>
          <w:tcPr>
            <w:tcW w:w="400" w:type="dxa"/>
            <w:vAlign w:val="bottom"/>
          </w:tcPr>
          <w:p>
            <w:pPr>
              <w:jc w:val="right"/>
              <w:spacing w:after="0" w:line="150" w:lineRule="exact"/>
              <w:rPr>
                <w:sz w:val="20"/>
                <w:szCs w:val="20"/>
                <w:color w:val="auto"/>
              </w:rPr>
            </w:pPr>
            <w:r>
              <w:rPr>
                <w:rFonts w:ascii="Times New Roman" w:cs="Times New Roman" w:eastAsia="Times New Roman" w:hAnsi="Times New Roman"/>
                <w:sz w:val="14"/>
                <w:szCs w:val="14"/>
                <w:color w:val="auto"/>
              </w:rPr>
              <w:t>9</w:t>
            </w:r>
          </w:p>
        </w:tc>
      </w:tr>
      <w:tr>
        <w:trPr>
          <w:trHeight w:val="150"/>
        </w:trPr>
        <w:tc>
          <w:tcPr>
            <w:tcW w:w="8240" w:type="dxa"/>
            <w:vAlign w:val="bottom"/>
            <w:gridSpan w:val="16"/>
          </w:tcPr>
          <w:p>
            <w:pPr>
              <w:spacing w:after="0" w:line="150" w:lineRule="exact"/>
              <w:rPr>
                <w:sz w:val="20"/>
                <w:szCs w:val="20"/>
                <w:color w:val="auto"/>
              </w:rPr>
            </w:pPr>
            <w:r>
              <w:rPr>
                <w:rFonts w:ascii="Times New Roman" w:cs="Times New Roman" w:eastAsia="Times New Roman" w:hAnsi="Times New Roman"/>
                <w:sz w:val="14"/>
                <w:szCs w:val="14"/>
                <w:color w:val="0000EE"/>
              </w:rPr>
              <w:t>RISK FACTORS</w:t>
            </w:r>
          </w:p>
        </w:tc>
        <w:tc>
          <w:tcPr>
            <w:tcW w:w="400" w:type="dxa"/>
            <w:vAlign w:val="bottom"/>
          </w:tcPr>
          <w:p>
            <w:pPr>
              <w:jc w:val="right"/>
              <w:spacing w:after="0" w:line="150" w:lineRule="exact"/>
              <w:rPr>
                <w:sz w:val="20"/>
                <w:szCs w:val="20"/>
                <w:color w:val="auto"/>
              </w:rPr>
            </w:pPr>
            <w:r>
              <w:rPr>
                <w:rFonts w:ascii="Times New Roman" w:cs="Times New Roman" w:eastAsia="Times New Roman" w:hAnsi="Times New Roman"/>
                <w:sz w:val="14"/>
                <w:szCs w:val="14"/>
                <w:color w:val="auto"/>
              </w:rPr>
              <w:t>10</w:t>
            </w:r>
          </w:p>
        </w:tc>
      </w:tr>
      <w:tr>
        <w:trPr>
          <w:trHeight w:val="20"/>
        </w:trPr>
        <w:tc>
          <w:tcPr>
            <w:tcW w:w="600" w:type="dxa"/>
            <w:vAlign w:val="bottom"/>
            <w:gridSpan w:val="2"/>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4540" w:type="dxa"/>
            <w:vAlign w:val="bottom"/>
            <w:gridSpan w:val="5"/>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150"/>
        </w:trPr>
        <w:tc>
          <w:tcPr>
            <w:tcW w:w="8240" w:type="dxa"/>
            <w:vAlign w:val="bottom"/>
            <w:gridSpan w:val="16"/>
          </w:tcPr>
          <w:p>
            <w:pPr>
              <w:spacing w:after="0" w:line="150" w:lineRule="exact"/>
              <w:rPr>
                <w:sz w:val="20"/>
                <w:szCs w:val="20"/>
                <w:color w:val="auto"/>
              </w:rPr>
            </w:pPr>
            <w:r>
              <w:rPr>
                <w:rFonts w:ascii="Times New Roman" w:cs="Times New Roman" w:eastAsia="Times New Roman" w:hAnsi="Times New Roman"/>
                <w:sz w:val="14"/>
                <w:szCs w:val="14"/>
                <w:color w:val="0000EE"/>
              </w:rPr>
              <w:t>USE OF PROCEEDS</w:t>
            </w:r>
          </w:p>
        </w:tc>
        <w:tc>
          <w:tcPr>
            <w:tcW w:w="400" w:type="dxa"/>
            <w:vAlign w:val="bottom"/>
          </w:tcPr>
          <w:p>
            <w:pPr>
              <w:jc w:val="right"/>
              <w:spacing w:after="0" w:line="150" w:lineRule="exact"/>
              <w:rPr>
                <w:sz w:val="20"/>
                <w:szCs w:val="20"/>
                <w:color w:val="auto"/>
              </w:rPr>
            </w:pPr>
            <w:r>
              <w:rPr>
                <w:rFonts w:ascii="Times New Roman" w:cs="Times New Roman" w:eastAsia="Times New Roman" w:hAnsi="Times New Roman"/>
                <w:sz w:val="14"/>
                <w:szCs w:val="14"/>
                <w:color w:val="auto"/>
              </w:rPr>
              <w:t>11</w:t>
            </w:r>
          </w:p>
        </w:tc>
      </w:tr>
      <w:tr>
        <w:trPr>
          <w:trHeight w:val="20"/>
        </w:trPr>
        <w:tc>
          <w:tcPr>
            <w:tcW w:w="600" w:type="dxa"/>
            <w:vAlign w:val="bottom"/>
            <w:gridSpan w:val="2"/>
            <w:shd w:val="clear" w:color="auto" w:fill="0000EE"/>
          </w:tcPr>
          <w:p>
            <w:pPr>
              <w:spacing w:after="0" w:line="20" w:lineRule="exact"/>
              <w:rPr>
                <w:sz w:val="1"/>
                <w:szCs w:val="1"/>
                <w:color w:val="auto"/>
              </w:rPr>
            </w:pPr>
          </w:p>
        </w:tc>
        <w:tc>
          <w:tcPr>
            <w:tcW w:w="540" w:type="dxa"/>
            <w:vAlign w:val="bottom"/>
            <w:gridSpan w:val="3"/>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4540" w:type="dxa"/>
            <w:vAlign w:val="bottom"/>
            <w:gridSpan w:val="5"/>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150"/>
        </w:trPr>
        <w:tc>
          <w:tcPr>
            <w:tcW w:w="8240" w:type="dxa"/>
            <w:vAlign w:val="bottom"/>
            <w:gridSpan w:val="16"/>
          </w:tcPr>
          <w:p>
            <w:pPr>
              <w:spacing w:after="0" w:line="150" w:lineRule="exact"/>
              <w:rPr>
                <w:sz w:val="20"/>
                <w:szCs w:val="20"/>
                <w:color w:val="auto"/>
              </w:rPr>
            </w:pPr>
            <w:r>
              <w:rPr>
                <w:rFonts w:ascii="Times New Roman" w:cs="Times New Roman" w:eastAsia="Times New Roman" w:hAnsi="Times New Roman"/>
                <w:sz w:val="14"/>
                <w:szCs w:val="14"/>
                <w:color w:val="0000EE"/>
              </w:rPr>
              <w:t>DESCRIPTION OF DEBT SECURITIES AND GUARANTEES</w:t>
            </w:r>
          </w:p>
        </w:tc>
        <w:tc>
          <w:tcPr>
            <w:tcW w:w="400" w:type="dxa"/>
            <w:vAlign w:val="bottom"/>
          </w:tcPr>
          <w:p>
            <w:pPr>
              <w:jc w:val="right"/>
              <w:spacing w:after="0" w:line="150" w:lineRule="exact"/>
              <w:rPr>
                <w:sz w:val="20"/>
                <w:szCs w:val="20"/>
                <w:color w:val="auto"/>
              </w:rPr>
            </w:pPr>
            <w:r>
              <w:rPr>
                <w:rFonts w:ascii="Times New Roman" w:cs="Times New Roman" w:eastAsia="Times New Roman" w:hAnsi="Times New Roman"/>
                <w:sz w:val="14"/>
                <w:szCs w:val="14"/>
                <w:color w:val="auto"/>
              </w:rPr>
              <w:t>12</w:t>
            </w:r>
          </w:p>
        </w:tc>
      </w:tr>
      <w:tr>
        <w:trPr>
          <w:trHeight w:val="150"/>
        </w:trPr>
        <w:tc>
          <w:tcPr>
            <w:tcW w:w="3700" w:type="dxa"/>
            <w:vAlign w:val="bottom"/>
            <w:tcBorders>
              <w:top w:val="single" w:sz="8" w:color="0000EE"/>
            </w:tcBorders>
            <w:gridSpan w:val="11"/>
          </w:tcPr>
          <w:p>
            <w:pPr>
              <w:spacing w:after="0" w:line="150" w:lineRule="exact"/>
              <w:rPr>
                <w:sz w:val="20"/>
                <w:szCs w:val="20"/>
                <w:color w:val="auto"/>
              </w:rPr>
            </w:pPr>
            <w:r>
              <w:rPr>
                <w:rFonts w:ascii="Times New Roman" w:cs="Times New Roman" w:eastAsia="Times New Roman" w:hAnsi="Times New Roman"/>
                <w:sz w:val="14"/>
                <w:szCs w:val="14"/>
                <w:color w:val="0000EE"/>
              </w:rPr>
              <w:t>LEGAL MATTERS</w:t>
            </w:r>
          </w:p>
        </w:tc>
        <w:tc>
          <w:tcPr>
            <w:tcW w:w="4540" w:type="dxa"/>
            <w:vAlign w:val="bottom"/>
            <w:gridSpan w:val="5"/>
          </w:tcPr>
          <w:p>
            <w:pPr>
              <w:spacing w:after="0"/>
              <w:rPr>
                <w:sz w:val="13"/>
                <w:szCs w:val="13"/>
                <w:color w:val="auto"/>
              </w:rPr>
            </w:pPr>
          </w:p>
        </w:tc>
        <w:tc>
          <w:tcPr>
            <w:tcW w:w="400" w:type="dxa"/>
            <w:vAlign w:val="bottom"/>
          </w:tcPr>
          <w:p>
            <w:pPr>
              <w:jc w:val="right"/>
              <w:spacing w:after="0" w:line="150" w:lineRule="exact"/>
              <w:rPr>
                <w:sz w:val="20"/>
                <w:szCs w:val="20"/>
                <w:color w:val="auto"/>
              </w:rPr>
            </w:pPr>
            <w:r>
              <w:rPr>
                <w:rFonts w:ascii="Times New Roman" w:cs="Times New Roman" w:eastAsia="Times New Roman" w:hAnsi="Times New Roman"/>
                <w:sz w:val="14"/>
                <w:szCs w:val="14"/>
                <w:color w:val="auto"/>
              </w:rPr>
              <w:t>15</w:t>
            </w:r>
          </w:p>
        </w:tc>
      </w:tr>
      <w:tr>
        <w:trPr>
          <w:trHeight w:val="150"/>
        </w:trPr>
        <w:tc>
          <w:tcPr>
            <w:tcW w:w="1140" w:type="dxa"/>
            <w:vAlign w:val="bottom"/>
            <w:tcBorders>
              <w:top w:val="single" w:sz="8" w:color="0000EE"/>
            </w:tcBorders>
            <w:gridSpan w:val="5"/>
          </w:tcPr>
          <w:p>
            <w:pPr>
              <w:spacing w:after="0" w:line="150" w:lineRule="exact"/>
              <w:rPr>
                <w:sz w:val="20"/>
                <w:szCs w:val="20"/>
                <w:color w:val="auto"/>
              </w:rPr>
            </w:pPr>
            <w:r>
              <w:rPr>
                <w:rFonts w:ascii="Times New Roman" w:cs="Times New Roman" w:eastAsia="Times New Roman" w:hAnsi="Times New Roman"/>
                <w:sz w:val="14"/>
                <w:szCs w:val="14"/>
                <w:color w:val="0000EE"/>
              </w:rPr>
              <w:t>EXPERTS</w:t>
            </w:r>
          </w:p>
        </w:tc>
        <w:tc>
          <w:tcPr>
            <w:tcW w:w="7100" w:type="dxa"/>
            <w:vAlign w:val="bottom"/>
            <w:gridSpan w:val="11"/>
          </w:tcPr>
          <w:p>
            <w:pPr>
              <w:spacing w:after="0"/>
              <w:rPr>
                <w:sz w:val="13"/>
                <w:szCs w:val="13"/>
                <w:color w:val="auto"/>
              </w:rPr>
            </w:pPr>
          </w:p>
        </w:tc>
        <w:tc>
          <w:tcPr>
            <w:tcW w:w="400" w:type="dxa"/>
            <w:vAlign w:val="bottom"/>
          </w:tcPr>
          <w:p>
            <w:pPr>
              <w:jc w:val="right"/>
              <w:spacing w:after="0" w:line="150" w:lineRule="exact"/>
              <w:rPr>
                <w:sz w:val="20"/>
                <w:szCs w:val="20"/>
                <w:color w:val="auto"/>
              </w:rPr>
            </w:pPr>
            <w:r>
              <w:rPr>
                <w:rFonts w:ascii="Times New Roman" w:cs="Times New Roman" w:eastAsia="Times New Roman" w:hAnsi="Times New Roman"/>
                <w:sz w:val="14"/>
                <w:szCs w:val="14"/>
                <w:color w:val="auto"/>
              </w:rPr>
              <w:t>15</w:t>
            </w:r>
          </w:p>
        </w:tc>
      </w:tr>
      <w:tr>
        <w:trPr>
          <w:trHeight w:val="20"/>
        </w:trPr>
        <w:tc>
          <w:tcPr>
            <w:tcW w:w="600" w:type="dxa"/>
            <w:vAlign w:val="bottom"/>
            <w:gridSpan w:val="2"/>
            <w:shd w:val="clear" w:color="auto" w:fill="0000EE"/>
          </w:tcPr>
          <w:p>
            <w:pPr>
              <w:spacing w:after="0" w:line="20" w:lineRule="exact"/>
              <w:rPr>
                <w:sz w:val="1"/>
                <w:szCs w:val="1"/>
                <w:color w:val="auto"/>
              </w:rPr>
            </w:pPr>
          </w:p>
        </w:tc>
        <w:tc>
          <w:tcPr>
            <w:tcW w:w="2100" w:type="dxa"/>
            <w:vAlign w:val="bottom"/>
            <w:gridSpan w:val="6"/>
          </w:tcPr>
          <w:p>
            <w:pPr>
              <w:spacing w:after="0" w:line="20" w:lineRule="exact"/>
              <w:rPr>
                <w:sz w:val="1"/>
                <w:szCs w:val="1"/>
                <w:color w:val="auto"/>
              </w:rPr>
            </w:pPr>
          </w:p>
        </w:tc>
        <w:tc>
          <w:tcPr>
            <w:tcW w:w="5540" w:type="dxa"/>
            <w:vAlign w:val="bottom"/>
            <w:gridSpan w:val="8"/>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150"/>
        </w:trPr>
        <w:tc>
          <w:tcPr>
            <w:tcW w:w="2700" w:type="dxa"/>
            <w:vAlign w:val="bottom"/>
            <w:tcBorders>
              <w:bottom w:val="single" w:sz="8" w:color="0000EE"/>
            </w:tcBorders>
            <w:gridSpan w:val="8"/>
          </w:tcPr>
          <w:p>
            <w:pPr>
              <w:spacing w:after="0" w:line="150" w:lineRule="exact"/>
              <w:rPr>
                <w:sz w:val="20"/>
                <w:szCs w:val="20"/>
                <w:color w:val="auto"/>
              </w:rPr>
            </w:pPr>
            <w:r>
              <w:rPr>
                <w:rFonts w:ascii="Times New Roman" w:cs="Times New Roman" w:eastAsia="Times New Roman" w:hAnsi="Times New Roman"/>
                <w:sz w:val="14"/>
                <w:szCs w:val="14"/>
                <w:color w:val="0000EE"/>
              </w:rPr>
              <w:t>ENFORCEABILITY OF CIVIL LIABILITIES</w:t>
            </w:r>
          </w:p>
        </w:tc>
        <w:tc>
          <w:tcPr>
            <w:tcW w:w="5540" w:type="dxa"/>
            <w:vAlign w:val="bottom"/>
            <w:gridSpan w:val="8"/>
          </w:tcPr>
          <w:p>
            <w:pPr>
              <w:spacing w:after="0"/>
              <w:rPr>
                <w:sz w:val="13"/>
                <w:szCs w:val="13"/>
                <w:color w:val="auto"/>
              </w:rPr>
            </w:pPr>
          </w:p>
        </w:tc>
        <w:tc>
          <w:tcPr>
            <w:tcW w:w="400" w:type="dxa"/>
            <w:vAlign w:val="bottom"/>
          </w:tcPr>
          <w:p>
            <w:pPr>
              <w:jc w:val="right"/>
              <w:spacing w:after="0" w:line="150" w:lineRule="exact"/>
              <w:rPr>
                <w:sz w:val="20"/>
                <w:szCs w:val="20"/>
                <w:color w:val="auto"/>
              </w:rPr>
            </w:pPr>
            <w:r>
              <w:rPr>
                <w:rFonts w:ascii="Times New Roman" w:cs="Times New Roman" w:eastAsia="Times New Roman" w:hAnsi="Times New Roman"/>
                <w:sz w:val="14"/>
                <w:szCs w:val="14"/>
                <w:color w:val="auto"/>
              </w:rPr>
              <w:t>16</w:t>
            </w:r>
          </w:p>
        </w:tc>
      </w:tr>
    </w:tbl>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00265" cy="33020"/>
                    </a:xfrm>
                    <a:prstGeom prst="rect">
                      <a:avLst/>
                    </a:prstGeom>
                    <a:noFill/>
                  </pic:spPr>
                </pic:pic>
              </a:graphicData>
            </a:graphic>
          </wp:anchor>
        </w:drawing>
      </w:r>
    </w:p>
    <w:p>
      <w:pPr>
        <w:spacing w:after="0" w:line="2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i</w:t>
      </w:r>
    </w:p>
    <w:p>
      <w:pPr>
        <w:sectPr>
          <w:pgSz w:w="11900" w:h="16838" w:orient="portrait"/>
          <w:cols w:equalWidth="0" w:num="1">
            <w:col w:w="9019"/>
          </w:cols>
          <w:pgMar w:left="1440" w:top="240" w:right="1440"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00265" cy="33020"/>
                    </a:xfrm>
                    <a:prstGeom prst="rect">
                      <a:avLst/>
                    </a:prstGeom>
                    <a:noFill/>
                  </pic:spPr>
                </pic:pic>
              </a:graphicData>
            </a:graphic>
          </wp:anchor>
        </w:drawing>
        <w:t>ABOUT THIS PROSPECTUS</w:t>
      </w:r>
    </w:p>
    <w:p>
      <w:pPr>
        <w:spacing w:after="0" w:line="181" w:lineRule="exact"/>
        <w:rPr>
          <w:sz w:val="20"/>
          <w:szCs w:val="20"/>
          <w:color w:val="auto"/>
        </w:rPr>
      </w:pPr>
    </w:p>
    <w:p>
      <w:pPr>
        <w:ind w:left="160" w:right="219" w:firstLine="347"/>
        <w:spacing w:after="0" w:line="260" w:lineRule="auto"/>
        <w:rPr>
          <w:sz w:val="20"/>
          <w:szCs w:val="20"/>
          <w:color w:val="auto"/>
        </w:rPr>
      </w:pPr>
      <w:r>
        <w:rPr>
          <w:rFonts w:ascii="Times New Roman" w:cs="Times New Roman" w:eastAsia="Times New Roman" w:hAnsi="Times New Roman"/>
          <w:sz w:val="14"/>
          <w:szCs w:val="14"/>
          <w:color w:val="auto"/>
        </w:rPr>
        <w:t>This prospectus is part of an “automatic shelf” registration statement that we filed with the Securities and Exchange Commission (the “SEC”) as a “well-known seasoned issuer” as defined in Rule 405 under the Securities Act of 1933, as amended (the “Securities Act”), using a “shelf” registration process. Under this process, we may offer and sell from time to time any combination of debt securities or guarantees of debt securities as described in this prospectus. This prospectus only provides you with a general description of the securities that we may offer. Each time we sell securities, we will provide a supplement to this prospectus that contains specific information about the terms of that offering, including the specific amounts, prices and terms of the securities offered. The prospectus supplement may also add, update or change information contained in this prospectus.</w:t>
      </w:r>
    </w:p>
    <w:p>
      <w:pPr>
        <w:spacing w:after="0" w:line="145" w:lineRule="exact"/>
        <w:rPr>
          <w:sz w:val="20"/>
          <w:szCs w:val="20"/>
          <w:color w:val="auto"/>
        </w:rPr>
      </w:pPr>
    </w:p>
    <w:p>
      <w:pPr>
        <w:ind w:left="160" w:right="539" w:firstLine="347"/>
        <w:spacing w:after="0" w:line="288" w:lineRule="auto"/>
        <w:rPr>
          <w:sz w:val="20"/>
          <w:szCs w:val="20"/>
          <w:color w:val="auto"/>
        </w:rPr>
      </w:pPr>
      <w:r>
        <w:rPr>
          <w:rFonts w:ascii="Times New Roman" w:cs="Times New Roman" w:eastAsia="Times New Roman" w:hAnsi="Times New Roman"/>
          <w:sz w:val="14"/>
          <w:szCs w:val="14"/>
          <w:color w:val="auto"/>
        </w:rPr>
        <w:t>You should carefully read both this prospectus, any accompanying prospectus supplement and any free writing prospectus prepared by or on behalf of us, together with the additional information described under the heading “Where You Can Find More Information.”</w:t>
      </w:r>
    </w:p>
    <w:p>
      <w:pPr>
        <w:spacing w:after="0" w:line="124" w:lineRule="exact"/>
        <w:rPr>
          <w:sz w:val="20"/>
          <w:szCs w:val="20"/>
          <w:color w:val="auto"/>
        </w:rPr>
      </w:pPr>
    </w:p>
    <w:p>
      <w:pPr>
        <w:ind w:left="160" w:right="199" w:firstLine="347"/>
        <w:spacing w:after="0" w:line="262" w:lineRule="auto"/>
        <w:rPr>
          <w:sz w:val="20"/>
          <w:szCs w:val="20"/>
          <w:color w:val="auto"/>
        </w:rPr>
      </w:pPr>
      <w:r>
        <w:rPr>
          <w:rFonts w:ascii="Times New Roman" w:cs="Times New Roman" w:eastAsia="Times New Roman" w:hAnsi="Times New Roman"/>
          <w:sz w:val="14"/>
          <w:szCs w:val="14"/>
          <w:color w:val="auto"/>
        </w:rPr>
        <w:t>We have not authorized anyone to provide you with any information other than that contained in or incorporated by reference into this prospectus, any accompanying prospectus supplement and any free writing prospectus prepared by or on behalf of us. We take no responsibility for, and can provide no assurance as to the reliability of, any other information that others may give you. We are not making offers to sell the securities in any jurisdiction in which an offer or solicitation is not authorized or in which the person making such offer or solicitation is not qualified to do so or to anyone to whom it is unlawful to make an offer or solicitation.</w:t>
      </w:r>
    </w:p>
    <w:p>
      <w:pPr>
        <w:spacing w:after="0" w:line="143" w:lineRule="exact"/>
        <w:rPr>
          <w:sz w:val="20"/>
          <w:szCs w:val="20"/>
          <w:color w:val="auto"/>
        </w:rPr>
      </w:pPr>
    </w:p>
    <w:p>
      <w:pPr>
        <w:jc w:val="both"/>
        <w:ind w:left="160" w:right="419" w:firstLine="347"/>
        <w:spacing w:after="0" w:line="271" w:lineRule="auto"/>
        <w:rPr>
          <w:sz w:val="20"/>
          <w:szCs w:val="20"/>
          <w:color w:val="auto"/>
        </w:rPr>
      </w:pPr>
      <w:r>
        <w:rPr>
          <w:rFonts w:ascii="Times New Roman" w:cs="Times New Roman" w:eastAsia="Times New Roman" w:hAnsi="Times New Roman"/>
          <w:sz w:val="14"/>
          <w:szCs w:val="14"/>
          <w:color w:val="auto"/>
        </w:rPr>
        <w:t>You should assume that the information appearing in this prospectus, any prospectus supplement or any document incorporated by reference is accurate only as of the date of the applicable documents, regardless of the time of delivery of this prospectus or any sale of securities. Our business, financial condition, results of operations and prospects may have changed since that date.</w:t>
      </w:r>
    </w:p>
    <w:p>
      <w:pPr>
        <w:spacing w:after="0" w:line="136" w:lineRule="exact"/>
        <w:rPr>
          <w:sz w:val="20"/>
          <w:szCs w:val="20"/>
          <w:color w:val="auto"/>
        </w:rPr>
      </w:pPr>
    </w:p>
    <w:p>
      <w:pPr>
        <w:ind w:left="160" w:right="599" w:firstLine="347"/>
        <w:spacing w:after="0" w:line="288" w:lineRule="auto"/>
        <w:rPr>
          <w:sz w:val="20"/>
          <w:szCs w:val="20"/>
          <w:color w:val="auto"/>
        </w:rPr>
      </w:pPr>
      <w:r>
        <w:rPr>
          <w:rFonts w:ascii="Times New Roman" w:cs="Times New Roman" w:eastAsia="Times New Roman" w:hAnsi="Times New Roman"/>
          <w:sz w:val="14"/>
          <w:szCs w:val="14"/>
          <w:color w:val="auto"/>
        </w:rPr>
        <w:t>When used in this prospectus, the terms “Cemex,” the “Company,” “we,” “us” or “our” refer to Cemex, S.A.B. de C.V. and its consolidated subsidiaries, unless otherwise specified or the context otherwise requires.</w:t>
      </w:r>
    </w:p>
    <w:p>
      <w:pPr>
        <w:spacing w:after="0" w:line="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w:t>
      </w:r>
    </w:p>
    <w:p>
      <w:pPr>
        <w:sectPr>
          <w:pgSz w:w="11900" w:h="16838" w:orient="portrait"/>
          <w:cols w:equalWidth="0" w:num="1">
            <w:col w:w="9019"/>
          </w:cols>
          <w:pgMar w:left="1440" w:top="240" w:right="1440" w:bottom="1440" w:gutter="0" w:footer="0" w:header="0"/>
        </w:sectPr>
      </w:pPr>
    </w:p>
    <w:bookmarkStart w:id="4" w:name="page5"/>
    <w:bookmarkEnd w:id="4"/>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00265" cy="33020"/>
                    </a:xfrm>
                    <a:prstGeom prst="rect">
                      <a:avLst/>
                    </a:prstGeom>
                    <a:noFill/>
                  </pic:spPr>
                </pic:pic>
              </a:graphicData>
            </a:graphic>
          </wp:anchor>
        </w:drawing>
        <w:t>WHERE YOU CAN FIND MORE INFORMATION</w:t>
      </w:r>
    </w:p>
    <w:p>
      <w:pPr>
        <w:spacing w:after="0" w:line="181" w:lineRule="exact"/>
        <w:rPr>
          <w:sz w:val="20"/>
          <w:szCs w:val="20"/>
          <w:color w:val="auto"/>
        </w:rPr>
      </w:pPr>
    </w:p>
    <w:p>
      <w:pPr>
        <w:jc w:val="both"/>
        <w:ind w:left="160" w:right="319" w:firstLine="347"/>
        <w:spacing w:after="0" w:line="265" w:lineRule="auto"/>
        <w:rPr>
          <w:sz w:val="20"/>
          <w:szCs w:val="20"/>
          <w:color w:val="auto"/>
        </w:rPr>
      </w:pPr>
      <w:r>
        <w:rPr>
          <w:rFonts w:ascii="Times New Roman" w:cs="Times New Roman" w:eastAsia="Times New Roman" w:hAnsi="Times New Roman"/>
          <w:sz w:val="14"/>
          <w:szCs w:val="14"/>
          <w:color w:val="auto"/>
        </w:rPr>
        <w:t>Cemex, S.A.B. de C.V. is a “foreign private issuer” within the meaning of the rules of the SEC. Cemex, S.A.B. de C.V. files periodic reports and furnishes other information with the SEC consistent with the requirements for a foreign private issuer. This information is available to the public at the SEC’s website at www.sec.gov. The information on the SEC’s website, which might be accessible through a hyperlink resulting from this URL, is not and shall not be deemed to be incorporated by reference in this prospectus.</w:t>
      </w:r>
    </w:p>
    <w:p>
      <w:pPr>
        <w:spacing w:after="0" w:line="3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INCORPORATION OF CERTAIN DOCUMENTS BY REFERENCE</w:t>
      </w:r>
    </w:p>
    <w:p>
      <w:pPr>
        <w:spacing w:after="0" w:line="181" w:lineRule="exact"/>
        <w:rPr>
          <w:sz w:val="20"/>
          <w:szCs w:val="20"/>
          <w:color w:val="auto"/>
        </w:rPr>
      </w:pPr>
    </w:p>
    <w:p>
      <w:pPr>
        <w:ind w:left="160" w:right="259" w:firstLine="347"/>
        <w:spacing w:after="0" w:line="260" w:lineRule="auto"/>
        <w:rPr>
          <w:sz w:val="20"/>
          <w:szCs w:val="20"/>
          <w:color w:val="auto"/>
        </w:rPr>
      </w:pPr>
      <w:r>
        <w:rPr>
          <w:rFonts w:ascii="Times New Roman" w:cs="Times New Roman" w:eastAsia="Times New Roman" w:hAnsi="Times New Roman"/>
          <w:sz w:val="14"/>
          <w:szCs w:val="14"/>
          <w:color w:val="auto"/>
        </w:rPr>
        <w:t>The SEC allows us to “incorporate by reference” information into this prospectus and any accompanying prospectus supplement, which means that we can disclose important information to you by referring you to another document filed or furnished separately with the SEC. The information incorporated by reference is deemed to be part of this prospectus and any accompanying prospectus supplement, except for any information superseded by information contained directly in this prospectus, any accompanying prospectus supplement, any subsequently filed or furnished document deemed incorporated by reference or any free writing prospectus prepared by or on behalf of us. This prospectus and any accompanying prospectus supplement incorporate by reference the documents set forth below that we have previously filed or furnished with the SEC.</w:t>
      </w:r>
    </w:p>
    <w:p>
      <w:pPr>
        <w:spacing w:after="0" w:line="71" w:lineRule="exact"/>
        <w:rPr>
          <w:sz w:val="20"/>
          <w:szCs w:val="20"/>
          <w:color w:val="auto"/>
        </w:rPr>
      </w:pPr>
    </w:p>
    <w:p>
      <w:pPr>
        <w:ind w:left="920" w:hanging="331"/>
        <w:spacing w:after="0"/>
        <w:tabs>
          <w:tab w:leader="none" w:pos="92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our Annual Report on </w:t>
      </w:r>
      <w:hyperlink r:id="rId26">
        <w:r>
          <w:rPr>
            <w:rFonts w:ascii="Times New Roman" w:cs="Times New Roman" w:eastAsia="Times New Roman" w:hAnsi="Times New Roman"/>
            <w:sz w:val="14"/>
            <w:szCs w:val="14"/>
            <w:u w:val="single" w:color="auto"/>
            <w:color w:val="0000EE"/>
          </w:rPr>
          <w:t>Form 20-F</w:t>
        </w:r>
        <w:r>
          <w:rPr>
            <w:rFonts w:ascii="Times New Roman" w:cs="Times New Roman" w:eastAsia="Times New Roman" w:hAnsi="Times New Roman"/>
            <w:sz w:val="14"/>
            <w:szCs w:val="14"/>
            <w:u w:val="single" w:color="auto"/>
            <w:color w:val="auto"/>
          </w:rPr>
          <w:t xml:space="preserve"> </w:t>
        </w:r>
      </w:hyperlink>
      <w:r>
        <w:rPr>
          <w:rFonts w:ascii="Times New Roman" w:cs="Times New Roman" w:eastAsia="Times New Roman" w:hAnsi="Times New Roman"/>
          <w:sz w:val="14"/>
          <w:szCs w:val="14"/>
          <w:color w:val="auto"/>
        </w:rPr>
        <w:t>for the fiscal year ended December 31, 2025, filed with the SEC on April 24, 2026;</w:t>
      </w:r>
    </w:p>
    <w:p>
      <w:pPr>
        <w:spacing w:after="0" w:line="105" w:lineRule="exact"/>
        <w:rPr>
          <w:rFonts w:ascii="Times New Roman" w:cs="Times New Roman" w:eastAsia="Times New Roman" w:hAnsi="Times New Roman"/>
          <w:sz w:val="14"/>
          <w:szCs w:val="14"/>
          <w:color w:val="auto"/>
        </w:rPr>
      </w:pPr>
    </w:p>
    <w:p>
      <w:pPr>
        <w:ind w:left="920" w:right="519" w:hanging="331"/>
        <w:spacing w:after="0" w:line="288" w:lineRule="auto"/>
        <w:tabs>
          <w:tab w:leader="none" w:pos="92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annual reports on Form 20-F filed with the SEC after the date of this prospectus and prior to the termination of the offering of the securities offered by this prospectus or the expiration of this registration statement;</w:t>
      </w:r>
    </w:p>
    <w:p>
      <w:pPr>
        <w:spacing w:after="0" w:line="49" w:lineRule="exact"/>
        <w:rPr>
          <w:rFonts w:ascii="Times New Roman" w:cs="Times New Roman" w:eastAsia="Times New Roman" w:hAnsi="Times New Roman"/>
          <w:sz w:val="14"/>
          <w:szCs w:val="14"/>
          <w:color w:val="auto"/>
        </w:rPr>
      </w:pPr>
    </w:p>
    <w:p>
      <w:pPr>
        <w:ind w:left="920" w:hanging="331"/>
        <w:spacing w:after="0"/>
        <w:tabs>
          <w:tab w:leader="none" w:pos="92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our Reports of Foreign Private Issuer on </w:t>
      </w:r>
      <w:hyperlink r:id="rId27">
        <w:r>
          <w:rPr>
            <w:rFonts w:ascii="Times New Roman" w:cs="Times New Roman" w:eastAsia="Times New Roman" w:hAnsi="Times New Roman"/>
            <w:sz w:val="14"/>
            <w:szCs w:val="14"/>
            <w:u w:val="single" w:color="auto"/>
            <w:color w:val="0000EE"/>
          </w:rPr>
          <w:t>Form 6-K</w:t>
        </w:r>
        <w:r>
          <w:rPr>
            <w:rFonts w:ascii="Times New Roman" w:cs="Times New Roman" w:eastAsia="Times New Roman" w:hAnsi="Times New Roman"/>
            <w:sz w:val="14"/>
            <w:szCs w:val="14"/>
            <w:u w:val="single" w:color="auto"/>
            <w:color w:val="auto"/>
          </w:rPr>
          <w:t xml:space="preserve"> </w:t>
        </w:r>
      </w:hyperlink>
      <w:r>
        <w:rPr>
          <w:rFonts w:ascii="Times New Roman" w:cs="Times New Roman" w:eastAsia="Times New Roman" w:hAnsi="Times New Roman"/>
          <w:sz w:val="14"/>
          <w:szCs w:val="14"/>
          <w:color w:val="auto"/>
        </w:rPr>
        <w:t>furnished to the SEC on June 1, 2026; and</w:t>
      </w:r>
    </w:p>
    <w:p>
      <w:pPr>
        <w:spacing w:after="0" w:line="105" w:lineRule="exact"/>
        <w:rPr>
          <w:rFonts w:ascii="Times New Roman" w:cs="Times New Roman" w:eastAsia="Times New Roman" w:hAnsi="Times New Roman"/>
          <w:sz w:val="14"/>
          <w:szCs w:val="14"/>
          <w:color w:val="auto"/>
        </w:rPr>
      </w:pPr>
    </w:p>
    <w:p>
      <w:pPr>
        <w:ind w:left="920" w:right="239" w:hanging="331"/>
        <w:spacing w:after="0" w:line="271" w:lineRule="auto"/>
        <w:tabs>
          <w:tab w:leader="none" w:pos="92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future reports on Form 6-K that we furnish to the SEC after the date of this prospectus, to the extent that information in such reports is identified as being incorporated by reference in this prospectus and prior to the termination of the offering of the securities offered by this prospectus.</w:t>
      </w:r>
    </w:p>
    <w:p>
      <w:pPr>
        <w:spacing w:after="0" w:line="136" w:lineRule="exact"/>
        <w:rPr>
          <w:rFonts w:ascii="Times New Roman" w:cs="Times New Roman" w:eastAsia="Times New Roman" w:hAnsi="Times New Roman"/>
          <w:sz w:val="14"/>
          <w:szCs w:val="14"/>
          <w:color w:val="auto"/>
        </w:rPr>
      </w:pPr>
    </w:p>
    <w:p>
      <w:pPr>
        <w:jc w:val="both"/>
        <w:ind w:left="160" w:right="259" w:firstLine="347"/>
        <w:spacing w:after="0" w:line="265" w:lineRule="auto"/>
        <w:rPr>
          <w:sz w:val="20"/>
          <w:szCs w:val="20"/>
          <w:color w:val="auto"/>
        </w:rPr>
      </w:pPr>
      <w:r>
        <w:rPr>
          <w:rFonts w:ascii="Times New Roman" w:cs="Times New Roman" w:eastAsia="Times New Roman" w:hAnsi="Times New Roman"/>
          <w:sz w:val="14"/>
          <w:szCs w:val="14"/>
          <w:color w:val="auto"/>
        </w:rPr>
        <w:t>Upon written or oral request, we will provide to each person, including any beneficial owner, to whom a prospectus is delivered, a copy of any or all of the information that has been incorporated by reference in the prospectus but not delivered with the prospectus. Exhibits to the filings will not be sent, however, unless those exhibits have specifically been incorporated by reference into such documents. To obtain a copy of these filings at no cost, you may write or telephone us at the following address:</w:t>
      </w:r>
    </w:p>
    <w:p>
      <w:pPr>
        <w:spacing w:after="0" w:line="55" w:lineRule="exact"/>
        <w:rPr>
          <w:rFonts w:ascii="Times New Roman" w:cs="Times New Roman" w:eastAsia="Times New Roman" w:hAnsi="Times New Roman"/>
          <w:sz w:val="14"/>
          <w:szCs w:val="14"/>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Cemex, S.A.B. de C.V.</w:t>
      </w:r>
    </w:p>
    <w:p>
      <w:pPr>
        <w:spacing w:after="0" w:line="23" w:lineRule="exact"/>
        <w:rPr>
          <w:rFonts w:ascii="Times New Roman" w:cs="Times New Roman" w:eastAsia="Times New Roman" w:hAnsi="Times New Roman"/>
          <w:sz w:val="14"/>
          <w:szCs w:val="14"/>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Avenida Ricardo Margáin Zozaya #325</w:t>
      </w:r>
    </w:p>
    <w:p>
      <w:pPr>
        <w:spacing w:after="0" w:line="9" w:lineRule="exact"/>
        <w:rPr>
          <w:rFonts w:ascii="Times New Roman" w:cs="Times New Roman" w:eastAsia="Times New Roman" w:hAnsi="Times New Roman"/>
          <w:sz w:val="14"/>
          <w:szCs w:val="14"/>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Colonia Valle del Campestre</w:t>
      </w:r>
    </w:p>
    <w:p>
      <w:pPr>
        <w:spacing w:after="0" w:line="9" w:lineRule="exact"/>
        <w:rPr>
          <w:rFonts w:ascii="Times New Roman" w:cs="Times New Roman" w:eastAsia="Times New Roman" w:hAnsi="Times New Roman"/>
          <w:sz w:val="14"/>
          <w:szCs w:val="14"/>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San Pedro Garza García, Nuevo León, 66265, Mexico</w:t>
      </w:r>
    </w:p>
    <w:p>
      <w:pPr>
        <w:spacing w:after="0" w:line="9" w:lineRule="exact"/>
        <w:rPr>
          <w:rFonts w:ascii="Times New Roman" w:cs="Times New Roman" w:eastAsia="Times New Roman" w:hAnsi="Times New Roman"/>
          <w:sz w:val="14"/>
          <w:szCs w:val="14"/>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Attn: Patricio Treviño-Investor Relations</w:t>
      </w:r>
    </w:p>
    <w:p>
      <w:pPr>
        <w:spacing w:after="0" w:line="9" w:lineRule="exact"/>
        <w:rPr>
          <w:rFonts w:ascii="Times New Roman" w:cs="Times New Roman" w:eastAsia="Times New Roman" w:hAnsi="Times New Roman"/>
          <w:sz w:val="14"/>
          <w:szCs w:val="14"/>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Telephone: +1 (212) 317-6011 / +52 (81) 8888-4327</w:t>
      </w:r>
    </w:p>
    <w:p>
      <w:pPr>
        <w:spacing w:after="0" w:line="9" w:lineRule="exact"/>
        <w:rPr>
          <w:rFonts w:ascii="Times New Roman" w:cs="Times New Roman" w:eastAsia="Times New Roman" w:hAnsi="Times New Roman"/>
          <w:sz w:val="14"/>
          <w:szCs w:val="14"/>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Email: ir@cemex.com</w:t>
      </w:r>
    </w:p>
    <w:p>
      <w:pPr>
        <w:spacing w:after="0" w:line="112" w:lineRule="exact"/>
        <w:rPr>
          <w:rFonts w:ascii="Times New Roman" w:cs="Times New Roman" w:eastAsia="Times New Roman" w:hAnsi="Times New Roman"/>
          <w:sz w:val="14"/>
          <w:szCs w:val="14"/>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w:t>
      </w:r>
    </w:p>
    <w:p>
      <w:pPr>
        <w:sectPr>
          <w:pgSz w:w="11900" w:h="16838" w:orient="portrait"/>
          <w:cols w:equalWidth="0" w:num="1">
            <w:col w:w="9019"/>
          </w:cols>
          <w:pgMar w:left="1440" w:top="240" w:right="1440"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8">
                      <a:extLst>
                        <a:ext uri="{28A0092B-C50C-407E-A947-70E740481C1C}"/>
                      </a:extLst>
                    </a:blip>
                    <a:srcRect/>
                    <a:stretch>
                      <a:fillRect/>
                    </a:stretch>
                  </pic:blipFill>
                  <pic:spPr bwMode="auto">
                    <a:xfrm>
                      <a:off x="0" y="0"/>
                      <a:ext cx="7200265" cy="33020"/>
                    </a:xfrm>
                    <a:prstGeom prst="rect">
                      <a:avLst/>
                    </a:prstGeom>
                    <a:noFill/>
                  </pic:spPr>
                </pic:pic>
              </a:graphicData>
            </a:graphic>
          </wp:anchor>
        </w:drawing>
        <w:t>CAUTIONARY NOTE REGARDING FORWARD-LOOKING STATEMENTS</w:t>
      </w:r>
    </w:p>
    <w:p>
      <w:pPr>
        <w:spacing w:after="0" w:line="181" w:lineRule="exact"/>
        <w:rPr>
          <w:sz w:val="20"/>
          <w:szCs w:val="20"/>
          <w:color w:val="auto"/>
        </w:rPr>
      </w:pPr>
    </w:p>
    <w:p>
      <w:pPr>
        <w:ind w:left="160" w:right="219" w:firstLine="347"/>
        <w:spacing w:after="0" w:line="255" w:lineRule="auto"/>
        <w:rPr>
          <w:sz w:val="20"/>
          <w:szCs w:val="20"/>
          <w:color w:val="auto"/>
        </w:rPr>
      </w:pPr>
      <w:r>
        <w:rPr>
          <w:rFonts w:ascii="Times New Roman" w:cs="Times New Roman" w:eastAsia="Times New Roman" w:hAnsi="Times New Roman"/>
          <w:sz w:val="14"/>
          <w:szCs w:val="14"/>
          <w:color w:val="auto"/>
        </w:rPr>
        <w:t>This prospectus and any accompanying prospectus supplement and any documents incorporated by reference contain forward-looking statements within the meaning of Section 27A of the Securities Act, and Section 21E of the Exchange Act of 1934. We intend these forward-looking statements to be covered by the “safe harbor” provisions for forward-looking statements within the meaning of applicable securities laws and regulations in all jurisdictions where such provisions exist, including but not limited to the United States Private Securities Litigation Reform Act of 1995. In some cases, these statements can be identified by the use of forward-looking words such as, but not limited to, “will,” “may,” “assume,” “might,” “should,” “could,” “continue,” “would,” “can,” “consider,” “anticipate,” “estimate,” “expect,” “envision,” “plan,” “believe,” “foresee,” “predict,” “potential,” “target,” “goal,” “strategy,” “intend,” “aimed,” or other forward-looking words. Unless otherwise indicated, these forward-looking statements reflect our current expectations and projections about the future, which are based on certain assumptions and on our knowledge of facts and circumstances as of the date such forward-looking statements are made. These forward-looking statements and information necessarily involve risks, uncertainties and assumptions, including, but not limited to, statements related to our plans, objectives, goals, targets and expectations (operative, financial or otherwise) and other important factors that could cause results and any estimate, projection and/or guidance presented in this prospectus and any accompanying prospectus supplement and any documents incorporated by reference to differ materially from historical results, performance and/or achievements or those anticipated by forward-looking statements. Although we believe that our expectations are reasonable, we can give no assurance that these expectations will prove to be correct, and actual results, performance and/or achievements may vary, including materially, from historical results, performance and/or achievements or those anticipated by forward-looking statements due to various factors. Among others, such risks, uncertainties, assumptions, and other important factors that could cause results and any estimate, projection and/or guidance presented in this prospectus and any accompanying prospectus supplement and any documents incorporated by reference to differ or fail to materialize, or that otherwise could have an impact on us include, but are not limited to:</w:t>
      </w:r>
    </w:p>
    <w:p>
      <w:pPr>
        <w:spacing w:after="0" w:line="81" w:lineRule="exact"/>
        <w:rPr>
          <w:sz w:val="20"/>
          <w:szCs w:val="20"/>
          <w:color w:val="auto"/>
        </w:rPr>
      </w:pPr>
    </w:p>
    <w:p>
      <w:pPr>
        <w:ind w:left="920" w:right="199" w:hanging="331"/>
        <w:spacing w:after="0" w:line="262" w:lineRule="auto"/>
        <w:tabs>
          <w:tab w:leader="none" w:pos="9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general economic, political and social conditions, including government shutdowns, new governments or regimes and decisions implemented by such new governments or regimes, changes in laws or regulations in the countries in which we do business, elections, changes in inflation, interest and foreign exchange rates, employment levels, population growth, any slowdown in the flow of remittances into countries where we operate, consumer confidence, and the liquidity of the financial and capital markets in Mexico, the United States, the European Union (the “EU”), the United Kingdom or other countries in which we operate;</w:t>
      </w:r>
    </w:p>
    <w:p>
      <w:pPr>
        <w:spacing w:after="0" w:line="68" w:lineRule="exact"/>
        <w:rPr>
          <w:rFonts w:ascii="Times New Roman" w:cs="Times New Roman" w:eastAsia="Times New Roman" w:hAnsi="Times New Roman"/>
          <w:sz w:val="14"/>
          <w:szCs w:val="14"/>
          <w:color w:val="auto"/>
        </w:rPr>
      </w:pPr>
    </w:p>
    <w:p>
      <w:pPr>
        <w:ind w:left="920" w:right="339" w:hanging="331"/>
        <w:spacing w:after="0" w:line="288" w:lineRule="auto"/>
        <w:tabs>
          <w:tab w:leader="none" w:pos="9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cyclical activity of the construction sector and reduced construction activity in our end markets or reduced use in our end markets for our products;</w:t>
      </w:r>
    </w:p>
    <w:p>
      <w:pPr>
        <w:spacing w:after="0" w:line="49" w:lineRule="exact"/>
        <w:rPr>
          <w:rFonts w:ascii="Times New Roman" w:cs="Times New Roman" w:eastAsia="Times New Roman" w:hAnsi="Times New Roman"/>
          <w:sz w:val="14"/>
          <w:szCs w:val="14"/>
          <w:color w:val="auto"/>
        </w:rPr>
      </w:pPr>
    </w:p>
    <w:p>
      <w:pPr>
        <w:ind w:left="920" w:right="779" w:hanging="331"/>
        <w:spacing w:after="0" w:line="288" w:lineRule="auto"/>
        <w:tabs>
          <w:tab w:leader="none" w:pos="9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exposure to sectors that impact our and our clients’ businesses, particularly those operating in the commercial and residential construction sectors, and the public and private infrastructure and energy sectors;</w:t>
      </w:r>
    </w:p>
    <w:p>
      <w:pPr>
        <w:spacing w:after="0" w:line="49" w:lineRule="exact"/>
        <w:rPr>
          <w:rFonts w:ascii="Times New Roman" w:cs="Times New Roman" w:eastAsia="Times New Roman" w:hAnsi="Times New Roman"/>
          <w:sz w:val="14"/>
          <w:szCs w:val="14"/>
          <w:color w:val="auto"/>
        </w:rPr>
      </w:pPr>
    </w:p>
    <w:p>
      <w:pPr>
        <w:ind w:left="920" w:hanging="331"/>
        <w:spacing w:after="0"/>
        <w:tabs>
          <w:tab w:leader="none" w:pos="9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volatility in pension plan asset values and liabilities, which may require cash or other contributions to the pension plans;</w:t>
      </w:r>
    </w:p>
    <w:p>
      <w:pPr>
        <w:spacing w:after="0" w:line="105" w:lineRule="exact"/>
        <w:rPr>
          <w:rFonts w:ascii="Times New Roman" w:cs="Times New Roman" w:eastAsia="Times New Roman" w:hAnsi="Times New Roman"/>
          <w:sz w:val="14"/>
          <w:szCs w:val="14"/>
          <w:color w:val="auto"/>
        </w:rPr>
      </w:pPr>
    </w:p>
    <w:p>
      <w:pPr>
        <w:ind w:left="920" w:hanging="331"/>
        <w:spacing w:after="0"/>
        <w:tabs>
          <w:tab w:leader="none" w:pos="9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spending levels for residential and commercial construction and general infrastructure projects;</w:t>
      </w:r>
    </w:p>
    <w:p>
      <w:pPr>
        <w:spacing w:after="0" w:line="105" w:lineRule="exact"/>
        <w:rPr>
          <w:rFonts w:ascii="Times New Roman" w:cs="Times New Roman" w:eastAsia="Times New Roman" w:hAnsi="Times New Roman"/>
          <w:sz w:val="14"/>
          <w:szCs w:val="14"/>
          <w:color w:val="auto"/>
        </w:rPr>
      </w:pPr>
    </w:p>
    <w:p>
      <w:pPr>
        <w:ind w:left="920" w:hanging="331"/>
        <w:spacing w:after="0"/>
        <w:tabs>
          <w:tab w:leader="none" w:pos="9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availability of short-term credit lines or working capital facilities, which can assist us in connection with market cycles;</w:t>
      </w:r>
    </w:p>
    <w:p>
      <w:pPr>
        <w:spacing w:after="0" w:line="105" w:lineRule="exact"/>
        <w:rPr>
          <w:rFonts w:ascii="Times New Roman" w:cs="Times New Roman" w:eastAsia="Times New Roman" w:hAnsi="Times New Roman"/>
          <w:sz w:val="14"/>
          <w:szCs w:val="14"/>
          <w:color w:val="auto"/>
        </w:rPr>
      </w:pPr>
    </w:p>
    <w:p>
      <w:pPr>
        <w:ind w:left="920" w:right="279" w:hanging="331"/>
        <w:spacing w:after="0" w:line="288" w:lineRule="auto"/>
        <w:tabs>
          <w:tab w:leader="none" w:pos="9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impact of not maintaining investment grade debt rating or not obtaining investment grade debt ratings from additional rating agencies on our cost of capital and on the cost of the products and services we purchase;</w:t>
      </w:r>
    </w:p>
    <w:p>
      <w:pPr>
        <w:spacing w:after="0" w:line="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w:t>
      </w:r>
    </w:p>
    <w:p>
      <w:pPr>
        <w:sectPr>
          <w:pgSz w:w="11900" w:h="16838" w:orient="portrait"/>
          <w:cols w:equalWidth="0" w:num="1">
            <w:col w:w="9019"/>
          </w:cols>
          <w:pgMar w:left="1440" w:top="240" w:right="1440" w:bottom="1440" w:gutter="0" w:footer="0" w:header="0"/>
        </w:sectPr>
      </w:pPr>
    </w:p>
    <w:bookmarkStart w:id="6" w:name="page7"/>
    <w:bookmarkEnd w:id="6"/>
    <w:p>
      <w:pPr>
        <w:ind w:left="920" w:right="199" w:hanging="331"/>
        <w:spacing w:after="0" w:line="271" w:lineRule="auto"/>
        <w:tabs>
          <w:tab w:leader="none" w:pos="9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9">
                      <a:extLst>
                        <a:ext uri="{28A0092B-C50C-407E-A947-70E740481C1C}"/>
                      </a:extLst>
                    </a:blip>
                    <a:srcRect/>
                    <a:stretch>
                      <a:fillRect/>
                    </a:stretch>
                  </pic:blipFill>
                  <pic:spPr bwMode="auto">
                    <a:xfrm>
                      <a:off x="0" y="0"/>
                      <a:ext cx="7200265" cy="33020"/>
                    </a:xfrm>
                    <a:prstGeom prst="rect">
                      <a:avLst/>
                    </a:prstGeom>
                    <a:noFill/>
                  </pic:spPr>
                </pic:pic>
              </a:graphicData>
            </a:graphic>
          </wp:anchor>
        </w:drawing>
        <w:t>availability of raw materials and related fluctuating prices of raw materials, as well as of general goods and services, in particular increases in prices of raw materials, goods and services, as a result of inflation, trade barriers, measures imposed by governments or as a result of conflicts between countries that disrupt supply chains;</w:t>
      </w:r>
    </w:p>
    <w:p>
      <w:pPr>
        <w:spacing w:after="0" w:line="61" w:lineRule="exact"/>
        <w:rPr>
          <w:rFonts w:ascii="Times New Roman" w:cs="Times New Roman" w:eastAsia="Times New Roman" w:hAnsi="Times New Roman"/>
          <w:sz w:val="14"/>
          <w:szCs w:val="14"/>
          <w:color w:val="auto"/>
        </w:rPr>
      </w:pPr>
    </w:p>
    <w:p>
      <w:pPr>
        <w:ind w:left="920" w:right="479" w:hanging="331"/>
        <w:spacing w:after="0" w:line="288" w:lineRule="auto"/>
        <w:tabs>
          <w:tab w:leader="none" w:pos="9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maintain and expand our distribution network and maintain favorable relationships with third parties who supply us with equipment, services and essential supplies;</w:t>
      </w:r>
    </w:p>
    <w:p>
      <w:pPr>
        <w:spacing w:after="0" w:line="49" w:lineRule="exact"/>
        <w:rPr>
          <w:rFonts w:ascii="Times New Roman" w:cs="Times New Roman" w:eastAsia="Times New Roman" w:hAnsi="Times New Roman"/>
          <w:sz w:val="14"/>
          <w:szCs w:val="14"/>
          <w:color w:val="auto"/>
        </w:rPr>
      </w:pPr>
    </w:p>
    <w:p>
      <w:pPr>
        <w:ind w:left="920" w:hanging="331"/>
        <w:spacing w:after="0"/>
        <w:tabs>
          <w:tab w:leader="none" w:pos="9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competition in the markets in which we offer our products and services;</w:t>
      </w:r>
    </w:p>
    <w:p>
      <w:pPr>
        <w:spacing w:after="0" w:line="105" w:lineRule="exact"/>
        <w:rPr>
          <w:rFonts w:ascii="Times New Roman" w:cs="Times New Roman" w:eastAsia="Times New Roman" w:hAnsi="Times New Roman"/>
          <w:sz w:val="14"/>
          <w:szCs w:val="14"/>
          <w:color w:val="auto"/>
        </w:rPr>
      </w:pPr>
    </w:p>
    <w:p>
      <w:pPr>
        <w:ind w:left="920" w:right="379" w:hanging="331"/>
        <w:spacing w:after="0" w:line="288" w:lineRule="auto"/>
        <w:tabs>
          <w:tab w:leader="none" w:pos="9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impact of environmental cleanup costs and other remedial actions, and other environmental, climate and related liabilities relating to existing and/or divested businesses, assets and/or operations;</w:t>
      </w:r>
    </w:p>
    <w:p>
      <w:pPr>
        <w:spacing w:after="0" w:line="49" w:lineRule="exact"/>
        <w:rPr>
          <w:rFonts w:ascii="Times New Roman" w:cs="Times New Roman" w:eastAsia="Times New Roman" w:hAnsi="Times New Roman"/>
          <w:sz w:val="14"/>
          <w:szCs w:val="14"/>
          <w:color w:val="auto"/>
        </w:rPr>
      </w:pPr>
    </w:p>
    <w:p>
      <w:pPr>
        <w:ind w:left="920" w:right="579" w:hanging="331"/>
        <w:spacing w:after="0" w:line="288" w:lineRule="auto"/>
        <w:tabs>
          <w:tab w:leader="none" w:pos="9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secure and permit aggregates reserves in strategically located areas in amounts that our operations require to operate or operate in a cost-efficient manner;</w:t>
      </w:r>
    </w:p>
    <w:p>
      <w:pPr>
        <w:spacing w:after="0" w:line="49" w:lineRule="exact"/>
        <w:rPr>
          <w:rFonts w:ascii="Times New Roman" w:cs="Times New Roman" w:eastAsia="Times New Roman" w:hAnsi="Times New Roman"/>
          <w:sz w:val="14"/>
          <w:szCs w:val="14"/>
          <w:color w:val="auto"/>
        </w:rPr>
      </w:pPr>
    </w:p>
    <w:p>
      <w:pPr>
        <w:ind w:left="920" w:hanging="331"/>
        <w:spacing w:after="0"/>
        <w:tabs>
          <w:tab w:leader="none" w:pos="9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timing and amount of federal, state, and local funding for infrastructure;</w:t>
      </w:r>
    </w:p>
    <w:p>
      <w:pPr>
        <w:spacing w:after="0" w:line="105" w:lineRule="exact"/>
        <w:rPr>
          <w:rFonts w:ascii="Times New Roman" w:cs="Times New Roman" w:eastAsia="Times New Roman" w:hAnsi="Times New Roman"/>
          <w:sz w:val="14"/>
          <w:szCs w:val="14"/>
          <w:color w:val="auto"/>
        </w:rPr>
      </w:pPr>
    </w:p>
    <w:p>
      <w:pPr>
        <w:ind w:left="920" w:hanging="331"/>
        <w:spacing w:after="0"/>
        <w:tabs>
          <w:tab w:leader="none" w:pos="9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our effective tax rate;</w:t>
      </w:r>
    </w:p>
    <w:p>
      <w:pPr>
        <w:spacing w:after="0" w:line="23" w:lineRule="exact"/>
        <w:rPr>
          <w:rFonts w:ascii="Times New Roman" w:cs="Times New Roman" w:eastAsia="Times New Roman" w:hAnsi="Times New Roman"/>
          <w:sz w:val="14"/>
          <w:szCs w:val="14"/>
          <w:color w:val="auto"/>
        </w:rPr>
      </w:pPr>
    </w:p>
    <w:p>
      <w:pPr>
        <w:ind w:left="920" w:right="359" w:hanging="331"/>
        <w:spacing w:after="0" w:line="290" w:lineRule="auto"/>
        <w:tabs>
          <w:tab w:leader="none" w:pos="9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comply with regulations and implement technologies and other initiatives that aim to reduce and/or capture CO</w:t>
      </w:r>
      <w:r>
        <w:rPr>
          <w:rFonts w:ascii="Times New Roman" w:cs="Times New Roman" w:eastAsia="Times New Roman" w:hAnsi="Times New Roman"/>
          <w:sz w:val="21"/>
          <w:szCs w:val="21"/>
          <w:color w:val="auto"/>
          <w:vertAlign w:val="subscript"/>
        </w:rPr>
        <w:t>2</w:t>
      </w:r>
      <w:r>
        <w:rPr>
          <w:rFonts w:ascii="Times New Roman" w:cs="Times New Roman" w:eastAsia="Times New Roman" w:hAnsi="Times New Roman"/>
          <w:sz w:val="14"/>
          <w:szCs w:val="14"/>
          <w:color w:val="auto"/>
        </w:rPr>
        <w:t xml:space="preserve"> emissions and comply with related carbon emissions regulations in place in the jurisdictions where we have operations;</w:t>
      </w:r>
    </w:p>
    <w:p>
      <w:pPr>
        <w:spacing w:after="0" w:line="31" w:lineRule="exact"/>
        <w:rPr>
          <w:rFonts w:ascii="Times New Roman" w:cs="Times New Roman" w:eastAsia="Times New Roman" w:hAnsi="Times New Roman"/>
          <w:sz w:val="14"/>
          <w:szCs w:val="14"/>
          <w:color w:val="auto"/>
        </w:rPr>
      </w:pPr>
    </w:p>
    <w:p>
      <w:pPr>
        <w:jc w:val="both"/>
        <w:ind w:left="920" w:right="259" w:hanging="331"/>
        <w:spacing w:after="0" w:line="271" w:lineRule="auto"/>
        <w:tabs>
          <w:tab w:leader="none" w:pos="9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legal and regulatory environment, including environmental, climate, trade, energy, tax, antitrust, sanctions, import and export controls, construction, human rights, and labor welfare, and acquisition-related rules and regulations in the countries and regions in which we have operations;</w:t>
      </w:r>
    </w:p>
    <w:p>
      <w:pPr>
        <w:spacing w:after="0" w:line="61" w:lineRule="exact"/>
        <w:rPr>
          <w:rFonts w:ascii="Times New Roman" w:cs="Times New Roman" w:eastAsia="Times New Roman" w:hAnsi="Times New Roman"/>
          <w:sz w:val="14"/>
          <w:szCs w:val="14"/>
          <w:color w:val="auto"/>
        </w:rPr>
      </w:pPr>
    </w:p>
    <w:p>
      <w:pPr>
        <w:ind w:left="920" w:hanging="331"/>
        <w:spacing w:after="0"/>
        <w:tabs>
          <w:tab w:leader="none" w:pos="9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effects of currency fluctuations on our results of operations and financial condition;</w:t>
      </w:r>
    </w:p>
    <w:p>
      <w:pPr>
        <w:spacing w:after="0" w:line="105" w:lineRule="exact"/>
        <w:rPr>
          <w:rFonts w:ascii="Times New Roman" w:cs="Times New Roman" w:eastAsia="Times New Roman" w:hAnsi="Times New Roman"/>
          <w:sz w:val="14"/>
          <w:szCs w:val="14"/>
          <w:color w:val="auto"/>
        </w:rPr>
      </w:pPr>
    </w:p>
    <w:p>
      <w:pPr>
        <w:ind w:left="920" w:right="359" w:hanging="331"/>
        <w:spacing w:after="0" w:line="271" w:lineRule="auto"/>
        <w:tabs>
          <w:tab w:leader="none" w:pos="9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satisfy our obligations under our debt agreements, the indentures that govern our outstanding senior notes and long-term notes in the Mexican market and our other debt instruments and financial obligations, and also regarding our subordinated notes with no fixed maturity and other financial obligations;</w:t>
      </w:r>
    </w:p>
    <w:p>
      <w:pPr>
        <w:spacing w:after="0" w:line="61" w:lineRule="exact"/>
        <w:rPr>
          <w:rFonts w:ascii="Times New Roman" w:cs="Times New Roman" w:eastAsia="Times New Roman" w:hAnsi="Times New Roman"/>
          <w:sz w:val="14"/>
          <w:szCs w:val="14"/>
          <w:color w:val="auto"/>
        </w:rPr>
      </w:pPr>
    </w:p>
    <w:p>
      <w:pPr>
        <w:ind w:left="920" w:right="459" w:hanging="331"/>
        <w:spacing w:after="0" w:line="288" w:lineRule="auto"/>
        <w:tabs>
          <w:tab w:leader="none" w:pos="9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adverse legal or regulatory proceedings or disputes, such as class actions or enforcement or other proceedings brought by third parties, government and regulatory agencies, including antitrust investigations and claims;</w:t>
      </w:r>
    </w:p>
    <w:p>
      <w:pPr>
        <w:spacing w:after="0" w:line="49" w:lineRule="exact"/>
        <w:rPr>
          <w:rFonts w:ascii="Times New Roman" w:cs="Times New Roman" w:eastAsia="Times New Roman" w:hAnsi="Times New Roman"/>
          <w:sz w:val="14"/>
          <w:szCs w:val="14"/>
          <w:color w:val="auto"/>
        </w:rPr>
      </w:pPr>
    </w:p>
    <w:p>
      <w:pPr>
        <w:ind w:left="920" w:hanging="331"/>
        <w:spacing w:after="0"/>
        <w:tabs>
          <w:tab w:leader="none" w:pos="9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protect our reputation and intellectual property;</w:t>
      </w:r>
    </w:p>
    <w:p>
      <w:pPr>
        <w:spacing w:after="0" w:line="105" w:lineRule="exact"/>
        <w:rPr>
          <w:rFonts w:ascii="Times New Roman" w:cs="Times New Roman" w:eastAsia="Times New Roman" w:hAnsi="Times New Roman"/>
          <w:sz w:val="14"/>
          <w:szCs w:val="14"/>
          <w:color w:val="auto"/>
        </w:rPr>
      </w:pPr>
    </w:p>
    <w:p>
      <w:pPr>
        <w:ind w:left="920" w:right="339" w:hanging="331"/>
        <w:spacing w:after="0" w:line="271" w:lineRule="auto"/>
        <w:tabs>
          <w:tab w:leader="none" w:pos="9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consummate asset sales or consummate asset sales in terms favorable to us, fully integrate newly acquired businesses, achieve cost-savings from our cost-reduction initiatives, implement our pricing and commercial initiatives for our products and services, and generally meet our business strategy’s goals;</w:t>
      </w:r>
    </w:p>
    <w:p>
      <w:pPr>
        <w:spacing w:after="0" w:line="61" w:lineRule="exact"/>
        <w:rPr>
          <w:rFonts w:ascii="Times New Roman" w:cs="Times New Roman" w:eastAsia="Times New Roman" w:hAnsi="Times New Roman"/>
          <w:sz w:val="14"/>
          <w:szCs w:val="14"/>
          <w:color w:val="auto"/>
        </w:rPr>
      </w:pPr>
    </w:p>
    <w:p>
      <w:pPr>
        <w:jc w:val="both"/>
        <w:ind w:left="920" w:right="519" w:hanging="331"/>
        <w:spacing w:after="0" w:line="265" w:lineRule="auto"/>
        <w:tabs>
          <w:tab w:leader="none" w:pos="9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increasing reliance on information technology infrastructure for our sales, invoicing, procurement, financial statements, and other processes that can adversely affect our sales and operations in the event that the infrastructure does not work as intended, experiences technical difficulties, or is subjected to invasion, disruption, or damage caused by circumstances beyond our control, including cyber-attacks, catastrophic events, power outages, natural disasters, computer system or network failures, or other security breaches;</w:t>
      </w:r>
    </w:p>
    <w:p>
      <w:pPr>
        <w:spacing w:after="0" w:line="65" w:lineRule="exact"/>
        <w:rPr>
          <w:rFonts w:ascii="Times New Roman" w:cs="Times New Roman" w:eastAsia="Times New Roman" w:hAnsi="Times New Roman"/>
          <w:sz w:val="14"/>
          <w:szCs w:val="14"/>
          <w:color w:val="auto"/>
        </w:rPr>
      </w:pPr>
    </w:p>
    <w:p>
      <w:pPr>
        <w:jc w:val="both"/>
        <w:ind w:left="920" w:right="259" w:hanging="331"/>
        <w:spacing w:after="0" w:line="271" w:lineRule="auto"/>
        <w:tabs>
          <w:tab w:leader="none" w:pos="9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effects of climate change, in particular reflected in weather conditions, including, but not limited to, excessive rain and snow, shortage of usable water, wildfires and natural disasters, such as earthquakes, hurricanes, tornadoes and floods, that could affect our facilities or the markets in which we offer our products and services or from where we source our raw materials;</w:t>
      </w:r>
    </w:p>
    <w:p>
      <w:pPr>
        <w:spacing w:after="0" w:line="61" w:lineRule="exact"/>
        <w:rPr>
          <w:rFonts w:ascii="Times New Roman" w:cs="Times New Roman" w:eastAsia="Times New Roman" w:hAnsi="Times New Roman"/>
          <w:sz w:val="14"/>
          <w:szCs w:val="14"/>
          <w:color w:val="auto"/>
        </w:rPr>
      </w:pPr>
    </w:p>
    <w:p>
      <w:pPr>
        <w:jc w:val="both"/>
        <w:ind w:left="920" w:right="299" w:hanging="331"/>
        <w:spacing w:after="0" w:line="271" w:lineRule="auto"/>
        <w:tabs>
          <w:tab w:leader="none" w:pos="9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trade barriers, including, but not limited to, tariffs or import taxes, including those imposed by the United States to key markets in which we operate, in particular, Mexico, China and the EU, and changes in existing trade policies or changes to, or withdrawals from, free trade agreements, including</w:t>
      </w:r>
    </w:p>
    <w:p>
      <w:pPr>
        <w:spacing w:after="0" w:line="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w:t>
      </w:r>
    </w:p>
    <w:p>
      <w:pPr>
        <w:sectPr>
          <w:pgSz w:w="11900" w:h="16838" w:orient="portrait"/>
          <w:cols w:equalWidth="0" w:num="1">
            <w:col w:w="9019"/>
          </w:cols>
          <w:pgMar w:left="1440" w:top="242" w:right="1440" w:bottom="1440" w:gutter="0" w:footer="0" w:header="0"/>
        </w:sectPr>
      </w:pPr>
    </w:p>
    <w:bookmarkStart w:id="7" w:name="page8"/>
    <w:bookmarkEnd w:id="7"/>
    <w:p>
      <w:pPr>
        <w:ind w:left="940" w:right="599"/>
        <w:spacing w:after="0" w:line="288"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0">
                      <a:extLst>
                        <a:ext uri="{28A0092B-C50C-407E-A947-70E740481C1C}"/>
                      </a:extLst>
                    </a:blip>
                    <a:srcRect/>
                    <a:stretch>
                      <a:fillRect/>
                    </a:stretch>
                  </pic:blipFill>
                  <pic:spPr bwMode="auto">
                    <a:xfrm>
                      <a:off x="0" y="0"/>
                      <a:ext cx="7200265" cy="33020"/>
                    </a:xfrm>
                    <a:prstGeom prst="rect">
                      <a:avLst/>
                    </a:prstGeom>
                    <a:noFill/>
                  </pic:spPr>
                </pic:pic>
              </a:graphicData>
            </a:graphic>
          </wp:anchor>
        </w:drawing>
        <w:t>the United States-Mexico-Canada Agreement, and the overall impact that the imposition or threat of trade barriers may cause on the overall economy of the countries in which we do business or that are part of our global supply chain;</w:t>
      </w:r>
    </w:p>
    <w:p>
      <w:pPr>
        <w:spacing w:after="0" w:line="50" w:lineRule="exact"/>
        <w:rPr>
          <w:sz w:val="20"/>
          <w:szCs w:val="20"/>
          <w:color w:val="auto"/>
        </w:rPr>
      </w:pPr>
    </w:p>
    <w:p>
      <w:pPr>
        <w:ind w:left="920" w:right="539" w:hanging="331"/>
        <w:spacing w:after="0" w:line="288" w:lineRule="auto"/>
        <w:tabs>
          <w:tab w:leader="none" w:pos="92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availability and cost of trucks, railcars, barges, and ships, terminals, warehouses, as well as their licensed operators, drivers, staff and workers, for transport, loading and unloading of our materials or that are otherwise a part of our supply chain;</w:t>
      </w:r>
    </w:p>
    <w:p>
      <w:pPr>
        <w:spacing w:after="0" w:line="49" w:lineRule="exact"/>
        <w:rPr>
          <w:rFonts w:ascii="Times New Roman" w:cs="Times New Roman" w:eastAsia="Times New Roman" w:hAnsi="Times New Roman"/>
          <w:sz w:val="14"/>
          <w:szCs w:val="14"/>
          <w:color w:val="auto"/>
        </w:rPr>
      </w:pPr>
    </w:p>
    <w:p>
      <w:pPr>
        <w:ind w:left="920" w:hanging="331"/>
        <w:spacing w:after="0"/>
        <w:tabs>
          <w:tab w:leader="none" w:pos="92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labor shortages and constraints;</w:t>
      </w:r>
    </w:p>
    <w:p>
      <w:pPr>
        <w:spacing w:after="0" w:line="105" w:lineRule="exact"/>
        <w:rPr>
          <w:rFonts w:ascii="Times New Roman" w:cs="Times New Roman" w:eastAsia="Times New Roman" w:hAnsi="Times New Roman"/>
          <w:sz w:val="14"/>
          <w:szCs w:val="14"/>
          <w:color w:val="auto"/>
        </w:rPr>
      </w:pPr>
    </w:p>
    <w:p>
      <w:pPr>
        <w:ind w:left="920" w:hanging="331"/>
        <w:spacing w:after="0"/>
        <w:tabs>
          <w:tab w:leader="none" w:pos="92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hire, effectively compensate and retain our key personnel and maintain satisfactory labor relations;</w:t>
      </w:r>
    </w:p>
    <w:p>
      <w:pPr>
        <w:spacing w:after="0" w:line="105" w:lineRule="exact"/>
        <w:rPr>
          <w:rFonts w:ascii="Times New Roman" w:cs="Times New Roman" w:eastAsia="Times New Roman" w:hAnsi="Times New Roman"/>
          <w:sz w:val="14"/>
          <w:szCs w:val="14"/>
          <w:color w:val="auto"/>
        </w:rPr>
      </w:pPr>
    </w:p>
    <w:p>
      <w:pPr>
        <w:jc w:val="both"/>
        <w:ind w:left="920" w:right="539" w:hanging="331"/>
        <w:spacing w:after="0" w:line="271" w:lineRule="auto"/>
        <w:tabs>
          <w:tab w:leader="none" w:pos="92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detect and prevent money laundering, terrorism financing and corruption, as well as other illegal activities and how any measures implemented by governments to detect and prevent money laundering, terrorism financing and corruption, and other illegal activities, affect our customers, suppliers and countries in which we do business;</w:t>
      </w:r>
    </w:p>
    <w:p>
      <w:pPr>
        <w:spacing w:after="0" w:line="61" w:lineRule="exact"/>
        <w:rPr>
          <w:rFonts w:ascii="Times New Roman" w:cs="Times New Roman" w:eastAsia="Times New Roman" w:hAnsi="Times New Roman"/>
          <w:sz w:val="14"/>
          <w:szCs w:val="14"/>
          <w:color w:val="auto"/>
        </w:rPr>
      </w:pPr>
    </w:p>
    <w:p>
      <w:pPr>
        <w:ind w:left="920" w:right="359" w:hanging="331"/>
        <w:spacing w:after="0" w:line="271" w:lineRule="auto"/>
        <w:tabs>
          <w:tab w:leader="none" w:pos="92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defaults, losses or disruptions in agreements, financial transactions or operations resulting from sanctions or restrictions imposed on any financial institution, including, but not limited to, banks, common representatives, trustees, payment processors, paying agents or other financial intermediaries, or any related parties;</w:t>
      </w:r>
    </w:p>
    <w:p>
      <w:pPr>
        <w:spacing w:after="0" w:line="61" w:lineRule="exact"/>
        <w:rPr>
          <w:rFonts w:ascii="Times New Roman" w:cs="Times New Roman" w:eastAsia="Times New Roman" w:hAnsi="Times New Roman"/>
          <w:sz w:val="14"/>
          <w:szCs w:val="14"/>
          <w:color w:val="auto"/>
        </w:rPr>
      </w:pPr>
    </w:p>
    <w:p>
      <w:pPr>
        <w:ind w:left="920" w:right="219" w:hanging="331"/>
        <w:spacing w:after="0" w:line="265" w:lineRule="auto"/>
        <w:tabs>
          <w:tab w:leader="none" w:pos="92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terrorist and organized criminal activities, social unrest, as well as geopolitical events, such as global, regional or national instability, hostilities, war, and armed conflicts, including the current war between Russia and Ukraine, the ongoing war among Israel, the United States and the Islamic Republic of Iran, conflicts in the Middle East and any insecurity and hostilities in Mexico related to illegal activities or organized crime and any actions any government takes to prevent these illegal activities and organized crime;</w:t>
      </w:r>
    </w:p>
    <w:p>
      <w:pPr>
        <w:spacing w:after="0" w:line="65" w:lineRule="exact"/>
        <w:rPr>
          <w:rFonts w:ascii="Times New Roman" w:cs="Times New Roman" w:eastAsia="Times New Roman" w:hAnsi="Times New Roman"/>
          <w:sz w:val="14"/>
          <w:szCs w:val="14"/>
          <w:color w:val="auto"/>
        </w:rPr>
      </w:pPr>
    </w:p>
    <w:p>
      <w:pPr>
        <w:ind w:left="920" w:right="399" w:hanging="331"/>
        <w:spacing w:after="0" w:line="265" w:lineRule="auto"/>
        <w:tabs>
          <w:tab w:leader="none" w:pos="92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impact of pandemics, epidemics, or outbreaks of infectious diseases and the response of governments and other third parties, which could adversely affect, among other matters, the ability of our operating facilities to operate at full or any capacity, supply chains, international operations, availability of liquidity, investor confidence and consumer spending, as well as the availability of, and demand for, our products and services;</w:t>
      </w:r>
    </w:p>
    <w:p>
      <w:pPr>
        <w:spacing w:after="0" w:line="65" w:lineRule="exact"/>
        <w:rPr>
          <w:rFonts w:ascii="Times New Roman" w:cs="Times New Roman" w:eastAsia="Times New Roman" w:hAnsi="Times New Roman"/>
          <w:sz w:val="14"/>
          <w:szCs w:val="14"/>
          <w:color w:val="auto"/>
        </w:rPr>
      </w:pPr>
    </w:p>
    <w:p>
      <w:pPr>
        <w:ind w:left="920" w:hanging="331"/>
        <w:spacing w:after="0"/>
        <w:tabs>
          <w:tab w:leader="none" w:pos="92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the economy that affect demand for consumer goods, consequently affecting demand for our products and services;</w:t>
      </w:r>
    </w:p>
    <w:p>
      <w:pPr>
        <w:spacing w:after="0" w:line="105" w:lineRule="exact"/>
        <w:rPr>
          <w:rFonts w:ascii="Times New Roman" w:cs="Times New Roman" w:eastAsia="Times New Roman" w:hAnsi="Times New Roman"/>
          <w:sz w:val="14"/>
          <w:szCs w:val="14"/>
          <w:color w:val="auto"/>
        </w:rPr>
      </w:pPr>
    </w:p>
    <w:p>
      <w:pPr>
        <w:ind w:left="920" w:hanging="331"/>
        <w:spacing w:after="0"/>
        <w:tabs>
          <w:tab w:leader="none" w:pos="92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depth and duration of an economic slowdown or recession, instability in the business landscape and lack of availability of credit;</w:t>
      </w:r>
    </w:p>
    <w:p>
      <w:pPr>
        <w:spacing w:after="0" w:line="105" w:lineRule="exact"/>
        <w:rPr>
          <w:rFonts w:ascii="Times New Roman" w:cs="Times New Roman" w:eastAsia="Times New Roman" w:hAnsi="Times New Roman"/>
          <w:sz w:val="14"/>
          <w:szCs w:val="14"/>
          <w:color w:val="auto"/>
        </w:rPr>
      </w:pPr>
    </w:p>
    <w:p>
      <w:pPr>
        <w:ind w:left="920" w:hanging="331"/>
        <w:spacing w:after="0"/>
        <w:tabs>
          <w:tab w:leader="none" w:pos="92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declarations of insolvency or bankruptcy, or becoming subject to similar proceedings;</w:t>
      </w:r>
    </w:p>
    <w:p>
      <w:pPr>
        <w:spacing w:after="0" w:line="105" w:lineRule="exact"/>
        <w:rPr>
          <w:rFonts w:ascii="Times New Roman" w:cs="Times New Roman" w:eastAsia="Times New Roman" w:hAnsi="Times New Roman"/>
          <w:sz w:val="14"/>
          <w:szCs w:val="14"/>
          <w:color w:val="auto"/>
        </w:rPr>
      </w:pPr>
    </w:p>
    <w:p>
      <w:pPr>
        <w:ind w:left="920" w:hanging="331"/>
        <w:spacing w:after="0"/>
        <w:tabs>
          <w:tab w:leader="none" w:pos="92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natural disasters and other unforeseen events (including global health hazards such as COVID-19);</w:t>
      </w:r>
    </w:p>
    <w:p>
      <w:pPr>
        <w:spacing w:after="0" w:line="105" w:lineRule="exact"/>
        <w:rPr>
          <w:rFonts w:ascii="Times New Roman" w:cs="Times New Roman" w:eastAsia="Times New Roman" w:hAnsi="Times New Roman"/>
          <w:sz w:val="14"/>
          <w:szCs w:val="14"/>
          <w:color w:val="auto"/>
        </w:rPr>
      </w:pPr>
    </w:p>
    <w:p>
      <w:pPr>
        <w:jc w:val="both"/>
        <w:ind w:left="920" w:right="419" w:hanging="331"/>
        <w:spacing w:after="0" w:line="271" w:lineRule="auto"/>
        <w:tabs>
          <w:tab w:leader="none" w:pos="92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implement our climate action program in effect at any given time, if any, including our current “Future in Action” climate action and nature program, and to achieve our sustainability goals and objectives in effect at any given time, if any, including under our current “Future in Action” climate action and nature program; and</w:t>
      </w:r>
    </w:p>
    <w:p>
      <w:pPr>
        <w:spacing w:after="0" w:line="61" w:lineRule="exact"/>
        <w:rPr>
          <w:rFonts w:ascii="Times New Roman" w:cs="Times New Roman" w:eastAsia="Times New Roman" w:hAnsi="Times New Roman"/>
          <w:sz w:val="14"/>
          <w:szCs w:val="14"/>
          <w:color w:val="auto"/>
        </w:rPr>
      </w:pPr>
    </w:p>
    <w:p>
      <w:pPr>
        <w:ind w:left="920" w:right="299" w:hanging="331"/>
        <w:spacing w:after="0" w:line="271" w:lineRule="auto"/>
        <w:tabs>
          <w:tab w:leader="none" w:pos="92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other risks and uncertainties described under “Item 3. Key Information—Risk Factors” in our most recent Annual Report on 20-F, which is incorporated in this prospectus by reference, as well as in any reports on Form 6-K that may be incorporated by reference in this prospectus or a prospectus supplement.</w:t>
      </w:r>
    </w:p>
    <w:p>
      <w:pPr>
        <w:spacing w:after="0" w:line="136" w:lineRule="exact"/>
        <w:rPr>
          <w:sz w:val="20"/>
          <w:szCs w:val="20"/>
          <w:color w:val="auto"/>
        </w:rPr>
      </w:pPr>
    </w:p>
    <w:p>
      <w:pPr>
        <w:ind w:left="160" w:right="399" w:firstLine="347"/>
        <w:spacing w:after="0" w:line="271" w:lineRule="auto"/>
        <w:rPr>
          <w:sz w:val="20"/>
          <w:szCs w:val="20"/>
          <w:color w:val="auto"/>
        </w:rPr>
      </w:pPr>
      <w:r>
        <w:rPr>
          <w:rFonts w:ascii="Times New Roman" w:cs="Times New Roman" w:eastAsia="Times New Roman" w:hAnsi="Times New Roman"/>
          <w:sz w:val="14"/>
          <w:szCs w:val="14"/>
          <w:color w:val="auto"/>
        </w:rPr>
        <w:t>Many factors could cause our expectations, expected results, and/or projections expressed in this prospectus and any accompanying prospectus supplement and any documents incorporated by reference not being reached and/or not producing the expected benefits and/or results, as any such benefits or results are subject to</w:t>
      </w:r>
    </w:p>
    <w:p>
      <w:pPr>
        <w:spacing w:after="0" w:line="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w:t>
      </w:r>
    </w:p>
    <w:p>
      <w:pPr>
        <w:sectPr>
          <w:pgSz w:w="11900" w:h="16838" w:orient="portrait"/>
          <w:cols w:equalWidth="0" w:num="1">
            <w:col w:w="9019"/>
          </w:cols>
          <w:pgMar w:left="1440" w:top="242" w:right="1440" w:bottom="1440" w:gutter="0" w:footer="0" w:header="0"/>
        </w:sectPr>
      </w:pPr>
    </w:p>
    <w:bookmarkStart w:id="8" w:name="page9"/>
    <w:bookmarkEnd w:id="8"/>
    <w:p>
      <w:pPr>
        <w:ind w:left="160" w:right="179"/>
        <w:spacing w:after="0" w:line="256"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1">
                      <a:extLst>
                        <a:ext uri="{28A0092B-C50C-407E-A947-70E740481C1C}"/>
                      </a:extLst>
                    </a:blip>
                    <a:srcRect/>
                    <a:stretch>
                      <a:fillRect/>
                    </a:stretch>
                  </pic:blipFill>
                  <pic:spPr bwMode="auto">
                    <a:xfrm>
                      <a:off x="0" y="0"/>
                      <a:ext cx="7200265" cy="33020"/>
                    </a:xfrm>
                    <a:prstGeom prst="rect">
                      <a:avLst/>
                    </a:prstGeom>
                    <a:noFill/>
                  </pic:spPr>
                </pic:pic>
              </a:graphicData>
            </a:graphic>
          </wp:anchor>
        </w:drawing>
        <w:t>uncertainties, costs, performance, and rate of success and/or implementation of technologies, some of which are not yet proven, among other factors. Should one or more of these risks or uncertainties materialize, or should underlying assumptions prove incorrect, actual results, performance and/or achievements may vary materially from historical results, performance, and/or achievements and/or results, performance, or achievements expressly or implicitly anticipated by the forward-looking statements, or otherwise could have an impact on us. Forward-looking statements should not be considered guarantees of future performance, and past results or developments are not indicative of results or developments in subsequent periods. Actual results, performance and/or achievements of our operations and the development of market conditions in which we operate, or other circumstances that may materialize, may differ materially from those described in, or suggested by, the forward-looking statements contained herein, and events referenced therein. Any or all of our forward-looking statements may turn out to be inaccurate and the factors identified above are not exhaustive. Accordingly, you should not place undue reliance on forward-looking statements, as such forward-looking statements speak only as of the date on which they are made. The forward-looking statements contained in this prospectus and any accompanying prospectus supplement and any documents incorporated by reference speak only as of the date of the document in which such statements were made and are subject to change without notice; and, except to the extent legally required, we expressly disclaim any obligation or undertaking to update or correct the information contained in this prospectus and any accompanying prospectus supplement and any documents incorporated by reference, or revise any forward-looking statements in this prospectus and any accompanying prospectus supplement and any documents incorporated by reference, whether to reflect new information, the occurrence of anticipated or unanticipated future events or circumstances, any change in our expectations regarding those forward-looking statements, any change in events, conditions, or circumstances on which any such statement is based, or otherwise.</w:t>
      </w:r>
    </w:p>
    <w:p>
      <w:pPr>
        <w:spacing w:after="0" w:line="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w:t>
      </w:r>
    </w:p>
    <w:p>
      <w:pPr>
        <w:sectPr>
          <w:pgSz w:w="11900" w:h="16838" w:orient="portrait"/>
          <w:cols w:equalWidth="0" w:num="1">
            <w:col w:w="9019"/>
          </w:cols>
          <w:pgMar w:left="1440" w:top="242" w:right="1440" w:bottom="1440" w:gutter="0" w:footer="0" w:header="0"/>
        </w:sectPr>
      </w:pPr>
    </w:p>
    <w:bookmarkStart w:id="9" w:name="page10"/>
    <w:bookmarkEnd w:id="9"/>
    <w:p>
      <w:pPr>
        <w:jc w:val="center"/>
        <w:ind w:left="1620" w:right="160"/>
        <w:spacing w:after="0" w:line="291" w:lineRule="auto"/>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2">
                      <a:extLst>
                        <a:ext uri="{28A0092B-C50C-407E-A947-70E740481C1C}"/>
                      </a:extLst>
                    </a:blip>
                    <a:srcRect/>
                    <a:stretch>
                      <a:fillRect/>
                    </a:stretch>
                  </pic:blipFill>
                  <pic:spPr bwMode="auto">
                    <a:xfrm>
                      <a:off x="0" y="0"/>
                      <a:ext cx="7200265" cy="33020"/>
                    </a:xfrm>
                    <a:prstGeom prst="rect">
                      <a:avLst/>
                    </a:prstGeom>
                    <a:noFill/>
                  </pic:spPr>
                </pic:pic>
              </a:graphicData>
            </a:graphic>
          </wp:anchor>
        </w:drawing>
        <w:t>CAUTIONARY STATEMENT REGARDING ENVIRONMENTAL, SOCIAL, AND GOVERNANCE (“ESG”) AND SUSTAINABILITY-RELATED DATA, METRICS, AND METHODOLOGIES</w:t>
      </w:r>
    </w:p>
    <w:p>
      <w:pPr>
        <w:spacing w:after="0" w:line="122" w:lineRule="exact"/>
        <w:rPr>
          <w:sz w:val="20"/>
          <w:szCs w:val="20"/>
          <w:color w:val="auto"/>
        </w:rPr>
      </w:pPr>
    </w:p>
    <w:p>
      <w:pPr>
        <w:ind w:left="160" w:right="219" w:firstLine="347"/>
        <w:spacing w:after="0" w:line="265" w:lineRule="auto"/>
        <w:rPr>
          <w:sz w:val="20"/>
          <w:szCs w:val="20"/>
          <w:color w:val="auto"/>
        </w:rPr>
      </w:pPr>
      <w:r>
        <w:rPr>
          <w:rFonts w:ascii="Times New Roman" w:cs="Times New Roman" w:eastAsia="Times New Roman" w:hAnsi="Times New Roman"/>
          <w:sz w:val="14"/>
          <w:szCs w:val="14"/>
          <w:color w:val="auto"/>
        </w:rPr>
        <w:t>This prospectus and any accompanying prospectus supplement and any documents incorporated by reference includes non-financial metrics, estimates, or other information related to ESG and sustainability matters that are subject to significant uncertainties, which may include the methodology, collection, and verification of data, various estimates, and assumptions, and/or underlying data that is obtained from third parties, some of which cannot be independently verified.</w:t>
      </w:r>
    </w:p>
    <w:p>
      <w:pPr>
        <w:spacing w:after="0" w:line="140" w:lineRule="exact"/>
        <w:rPr>
          <w:sz w:val="20"/>
          <w:szCs w:val="20"/>
          <w:color w:val="auto"/>
        </w:rPr>
      </w:pPr>
    </w:p>
    <w:p>
      <w:pPr>
        <w:ind w:left="160" w:right="179" w:firstLine="347"/>
        <w:spacing w:after="0" w:line="256" w:lineRule="auto"/>
        <w:rPr>
          <w:sz w:val="20"/>
          <w:szCs w:val="20"/>
          <w:color w:val="auto"/>
        </w:rPr>
      </w:pPr>
      <w:r>
        <w:rPr>
          <w:rFonts w:ascii="Times New Roman" w:cs="Times New Roman" w:eastAsia="Times New Roman" w:hAnsi="Times New Roman"/>
          <w:sz w:val="14"/>
          <w:szCs w:val="14"/>
          <w:color w:val="auto"/>
        </w:rPr>
        <w:t>The preparation of certain information on ESG and sustainability matters contained in this prospectus and any accompanying prospectus supplement and any documents incorporated by reference requires the application of a number of key judgments, assumptions, and estimates. The reported measures in this prospectus and any accompanying prospectus supplement and any documents incorporated by reference reflect good faith estimates, assumptions, and judgments at the given point in time. There is a risk that these judgments, estimates, or assumptions may subsequently prove to be incorrect and/or, to the extent legally required, may need to be restated or changed. The disclosure of information on sustainability-related matters is not yet subject to the same recognized or accepted reporting or accounting principles and rules as traditional financial information. Consequently, there are no commonly accepted reporting practices for us to follow, and ESG metrics among organizations in our industry may not be comparable. In addition, the underlying data, systems, and controls that support non-financial reporting are generally considerably less sophisticated than the systems and internal control for financial reporting and rely on manual processes. This may result in non-comparable information between organizations and/or between reporting periods within organizations as methodologies continue to develop and/or be socialized. The further development of or changes to accounting and/or reporting standards could materially impact the performance metrics, data points, and targets contained in this prospectus and any accompanying prospectus supplement and any documents incorporated by reference, and the reader may not be able to compare non-financial information performance metrics, data points, or targets between reporting periods on a direct like-for-like basis.</w:t>
      </w:r>
    </w:p>
    <w:p>
      <w:pPr>
        <w:spacing w:after="0" w:line="151" w:lineRule="exact"/>
        <w:rPr>
          <w:sz w:val="20"/>
          <w:szCs w:val="20"/>
          <w:color w:val="auto"/>
        </w:rPr>
      </w:pPr>
    </w:p>
    <w:p>
      <w:pPr>
        <w:ind w:left="160" w:right="359" w:firstLine="347"/>
        <w:spacing w:after="0" w:line="260" w:lineRule="auto"/>
        <w:rPr>
          <w:sz w:val="20"/>
          <w:szCs w:val="20"/>
          <w:color w:val="auto"/>
        </w:rPr>
      </w:pPr>
      <w:r>
        <w:rPr>
          <w:rFonts w:ascii="Times New Roman" w:cs="Times New Roman" w:eastAsia="Times New Roman" w:hAnsi="Times New Roman"/>
          <w:sz w:val="14"/>
          <w:szCs w:val="14"/>
          <w:color w:val="auto"/>
        </w:rPr>
        <w:t>Additionally, the information disclosed in this prospectus and any accompanying prospectus supplement and any documents incorporated by reference contains references to “green,” “social,” “sustainable,” or equivalent-labelled activities, products, assets, or projects. There is currently no single globally recognized or accepted, consistent and comparable set of definitions or standards (legal, regulatory, or otherwise) of, nor widespread cross-market consensus (i) as to what constitutes, a “green,” “social,” “sustainable,” or having equivalent-labelled activity, product, or asset; (ii) as to what precise attributes are required for a particular activity, product, or asset to be defined as “green,” “social,” “sustainable” or such other equivalent label; or (iii) as to climate and sustainable funding and financing activities and their classification and reporting.</w:t>
      </w:r>
    </w:p>
    <w:p>
      <w:pPr>
        <w:spacing w:after="0" w:line="145" w:lineRule="exact"/>
        <w:rPr>
          <w:sz w:val="20"/>
          <w:szCs w:val="20"/>
          <w:color w:val="auto"/>
        </w:rPr>
      </w:pPr>
    </w:p>
    <w:p>
      <w:pPr>
        <w:ind w:left="160" w:right="259" w:firstLine="347"/>
        <w:spacing w:after="0" w:line="265" w:lineRule="auto"/>
        <w:rPr>
          <w:sz w:val="20"/>
          <w:szCs w:val="20"/>
          <w:color w:val="auto"/>
        </w:rPr>
      </w:pPr>
      <w:r>
        <w:rPr>
          <w:rFonts w:ascii="Times New Roman" w:cs="Times New Roman" w:eastAsia="Times New Roman" w:hAnsi="Times New Roman"/>
          <w:sz w:val="14"/>
          <w:szCs w:val="14"/>
          <w:color w:val="auto"/>
        </w:rPr>
        <w:t>Therefore, there is little certainty, and no assurance or representation is given, that such activities, products, assets, or projects and/or reporting of such activities, products, assets or projects will meet any present or future expectations or requirements for describing or classifying such activities, products, assets or projects as “green,” “social,” “sustainable,” or attributing similar labels. We expect policies, regulatory requirements, standards, and definitions to be developed and continuously evolve over time.</w:t>
      </w:r>
    </w:p>
    <w:p>
      <w:pPr>
        <w:spacing w:after="0" w:line="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7</w:t>
      </w:r>
    </w:p>
    <w:p>
      <w:pPr>
        <w:sectPr>
          <w:pgSz w:w="11900" w:h="16838" w:orient="portrait"/>
          <w:cols w:equalWidth="0" w:num="1">
            <w:col w:w="9019"/>
          </w:cols>
          <w:pgMar w:left="1440" w:top="240" w:right="1440" w:bottom="1440" w:gutter="0" w:footer="0" w:header="0"/>
        </w:sectPr>
      </w:pPr>
    </w:p>
    <w:bookmarkStart w:id="10" w:name="page11"/>
    <w:bookmarkEnd w:id="10"/>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3">
                      <a:extLst>
                        <a:ext uri="{28A0092B-C50C-407E-A947-70E740481C1C}"/>
                      </a:extLst>
                    </a:blip>
                    <a:srcRect/>
                    <a:stretch>
                      <a:fillRect/>
                    </a:stretch>
                  </pic:blipFill>
                  <pic:spPr bwMode="auto">
                    <a:xfrm>
                      <a:off x="0" y="0"/>
                      <a:ext cx="7200265" cy="33020"/>
                    </a:xfrm>
                    <a:prstGeom prst="rect">
                      <a:avLst/>
                    </a:prstGeom>
                    <a:noFill/>
                  </pic:spPr>
                </pic:pic>
              </a:graphicData>
            </a:graphic>
          </wp:anchor>
        </w:drawing>
        <w:t>CAUTIONARY STATEMENT REGARDING FORWARD-LOOKING ESG OR SUSTAINABILITY STATEMENTS</w:t>
      </w:r>
    </w:p>
    <w:p>
      <w:pPr>
        <w:spacing w:after="0" w:line="181" w:lineRule="exact"/>
        <w:rPr>
          <w:sz w:val="20"/>
          <w:szCs w:val="20"/>
          <w:color w:val="auto"/>
        </w:rPr>
      </w:pPr>
    </w:p>
    <w:p>
      <w:pPr>
        <w:ind w:left="160" w:right="259" w:firstLine="347"/>
        <w:spacing w:after="0" w:line="245" w:lineRule="auto"/>
        <w:rPr>
          <w:sz w:val="20"/>
          <w:szCs w:val="20"/>
          <w:color w:val="auto"/>
        </w:rPr>
      </w:pPr>
      <w:r>
        <w:rPr>
          <w:rFonts w:ascii="Times New Roman" w:cs="Times New Roman" w:eastAsia="Times New Roman" w:hAnsi="Times New Roman"/>
          <w:sz w:val="14"/>
          <w:szCs w:val="14"/>
          <w:color w:val="auto"/>
        </w:rPr>
        <w:t>Certain sections in this prospectus and any accompanying prospectus supplement and any documents incorporated by reference contain ESG- or sustainability-related forward-looking statements, such as aims, ambitions, estimates, forecasts, plans, projections, targets, goals and other metrics, including but not limited to: climate and emissions, business and human rights, corporate governance, research and development and partnerships, development of products and services that intend to address sustainability-related concerns and sustainability related targets/ ambitions when finalized, including the implementation of technologies and other initiatives that aim to reduce and/or capture CO</w:t>
      </w:r>
      <w:r>
        <w:rPr>
          <w:rFonts w:ascii="Times New Roman" w:cs="Times New Roman" w:eastAsia="Times New Roman" w:hAnsi="Times New Roman"/>
          <w:sz w:val="21"/>
          <w:szCs w:val="21"/>
          <w:color w:val="auto"/>
          <w:vertAlign w:val="subscript"/>
        </w:rPr>
        <w:t>2</w:t>
      </w:r>
      <w:r>
        <w:rPr>
          <w:rFonts w:ascii="Times New Roman" w:cs="Times New Roman" w:eastAsia="Times New Roman" w:hAnsi="Times New Roman"/>
          <w:sz w:val="14"/>
          <w:szCs w:val="14"/>
          <w:color w:val="auto"/>
        </w:rPr>
        <w:t xml:space="preserve"> emissions. These forward-looking statements also include references to specific programs, such as our current “Future in Action” climate action and nature program, as well as various ESG-related indicators, objectives or metrics disclosed previously or that may be disclosed in the future, none of which are guarantees and any and all of which may ultimately not be achieved or may be abandoned at any time, whether in part, in full, or within any specific timeframe. There are many significant uncertainties, assumptions, judgements, opinions, estimates, forecasts and statements made of future expectations underlying these forward-looking statements which could cause actual results, performance, outcomes or events to differ materially from those expressed or implied in these forward-looking statements, which include, but are not limited to:</w:t>
      </w:r>
    </w:p>
    <w:p>
      <w:pPr>
        <w:spacing w:after="0" w:line="78" w:lineRule="exact"/>
        <w:rPr>
          <w:sz w:val="20"/>
          <w:szCs w:val="20"/>
          <w:color w:val="auto"/>
        </w:rPr>
      </w:pPr>
    </w:p>
    <w:p>
      <w:pPr>
        <w:ind w:left="920" w:hanging="331"/>
        <w:spacing w:after="0"/>
        <w:tabs>
          <w:tab w:leader="none" w:pos="92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extent and pace of climate change, including the timing and manifestation of physical and transition risks;</w:t>
      </w:r>
    </w:p>
    <w:p>
      <w:pPr>
        <w:spacing w:after="0" w:line="105" w:lineRule="exact"/>
        <w:rPr>
          <w:rFonts w:ascii="Times New Roman" w:cs="Times New Roman" w:eastAsia="Times New Roman" w:hAnsi="Times New Roman"/>
          <w:sz w:val="14"/>
          <w:szCs w:val="14"/>
          <w:color w:val="auto"/>
        </w:rPr>
      </w:pPr>
    </w:p>
    <w:p>
      <w:pPr>
        <w:ind w:left="920" w:hanging="331"/>
        <w:spacing w:after="0"/>
        <w:tabs>
          <w:tab w:leader="none" w:pos="92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macroeconomic environment;</w:t>
      </w:r>
    </w:p>
    <w:p>
      <w:pPr>
        <w:spacing w:after="0" w:line="105" w:lineRule="exact"/>
        <w:rPr>
          <w:rFonts w:ascii="Times New Roman" w:cs="Times New Roman" w:eastAsia="Times New Roman" w:hAnsi="Times New Roman"/>
          <w:sz w:val="14"/>
          <w:szCs w:val="14"/>
          <w:color w:val="auto"/>
        </w:rPr>
      </w:pPr>
    </w:p>
    <w:p>
      <w:pPr>
        <w:ind w:left="920" w:right="739" w:hanging="331"/>
        <w:spacing w:after="0" w:line="288" w:lineRule="auto"/>
        <w:tabs>
          <w:tab w:leader="none" w:pos="92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uncertainty around future climate-related policy and regulations, including the timely implementation and integration of adequate government policies;</w:t>
      </w:r>
    </w:p>
    <w:p>
      <w:pPr>
        <w:spacing w:after="0" w:line="49" w:lineRule="exact"/>
        <w:rPr>
          <w:rFonts w:ascii="Times New Roman" w:cs="Times New Roman" w:eastAsia="Times New Roman" w:hAnsi="Times New Roman"/>
          <w:sz w:val="14"/>
          <w:szCs w:val="14"/>
          <w:color w:val="auto"/>
        </w:rPr>
      </w:pPr>
    </w:p>
    <w:p>
      <w:pPr>
        <w:ind w:left="920" w:right="239" w:hanging="331"/>
        <w:spacing w:after="0" w:line="288" w:lineRule="auto"/>
        <w:tabs>
          <w:tab w:leader="none" w:pos="92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effectiveness of actions of governments, legislators, regulators, businesses, investors, customers, and other stakeholders to mitigate the impact of climate and sustainability-related risks;</w:t>
      </w:r>
    </w:p>
    <w:p>
      <w:pPr>
        <w:spacing w:after="0" w:line="49" w:lineRule="exact"/>
        <w:rPr>
          <w:rFonts w:ascii="Times New Roman" w:cs="Times New Roman" w:eastAsia="Times New Roman" w:hAnsi="Times New Roman"/>
          <w:sz w:val="14"/>
          <w:szCs w:val="14"/>
          <w:color w:val="auto"/>
        </w:rPr>
      </w:pPr>
    </w:p>
    <w:p>
      <w:pPr>
        <w:ind w:left="920" w:right="859" w:hanging="331"/>
        <w:spacing w:after="0" w:line="288" w:lineRule="auto"/>
        <w:tabs>
          <w:tab w:leader="none" w:pos="92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customer behavior and demand, changes in the available technology for mitigation and the effectiveness of any such technologies, as some of these new technologies may be unproven;</w:t>
      </w:r>
    </w:p>
    <w:p>
      <w:pPr>
        <w:spacing w:after="0" w:line="49" w:lineRule="exact"/>
        <w:rPr>
          <w:rFonts w:ascii="Times New Roman" w:cs="Times New Roman" w:eastAsia="Times New Roman" w:hAnsi="Times New Roman"/>
          <w:sz w:val="14"/>
          <w:szCs w:val="14"/>
          <w:color w:val="auto"/>
        </w:rPr>
      </w:pPr>
    </w:p>
    <w:p>
      <w:pPr>
        <w:ind w:left="920" w:hanging="331"/>
        <w:spacing w:after="0"/>
        <w:tabs>
          <w:tab w:leader="none" w:pos="92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excessive costs and expenses related to acquire and/or develop technology for mitigation;</w:t>
      </w:r>
    </w:p>
    <w:p>
      <w:pPr>
        <w:spacing w:after="0" w:line="105" w:lineRule="exact"/>
        <w:rPr>
          <w:rFonts w:ascii="Times New Roman" w:cs="Times New Roman" w:eastAsia="Times New Roman" w:hAnsi="Times New Roman"/>
          <w:sz w:val="14"/>
          <w:szCs w:val="14"/>
          <w:color w:val="auto"/>
        </w:rPr>
      </w:pPr>
    </w:p>
    <w:p>
      <w:pPr>
        <w:ind w:left="920" w:hanging="331"/>
        <w:spacing w:after="0"/>
        <w:tabs>
          <w:tab w:leader="none" w:pos="92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roll-out of low carbon infrastructure;</w:t>
      </w:r>
    </w:p>
    <w:p>
      <w:pPr>
        <w:spacing w:after="0" w:line="105" w:lineRule="exact"/>
        <w:rPr>
          <w:rFonts w:ascii="Times New Roman" w:cs="Times New Roman" w:eastAsia="Times New Roman" w:hAnsi="Times New Roman"/>
          <w:sz w:val="14"/>
          <w:szCs w:val="14"/>
          <w:color w:val="auto"/>
        </w:rPr>
      </w:pPr>
    </w:p>
    <w:p>
      <w:pPr>
        <w:ind w:left="920" w:hanging="331"/>
        <w:spacing w:after="0"/>
        <w:tabs>
          <w:tab w:leader="none" w:pos="92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availability and adoption of renewable energy in our value chain;</w:t>
      </w:r>
    </w:p>
    <w:p>
      <w:pPr>
        <w:spacing w:after="0" w:line="105" w:lineRule="exact"/>
        <w:rPr>
          <w:rFonts w:ascii="Times New Roman" w:cs="Times New Roman" w:eastAsia="Times New Roman" w:hAnsi="Times New Roman"/>
          <w:sz w:val="14"/>
          <w:szCs w:val="14"/>
          <w:color w:val="auto"/>
        </w:rPr>
      </w:pPr>
    </w:p>
    <w:p>
      <w:pPr>
        <w:ind w:left="920" w:right="419" w:hanging="331"/>
        <w:spacing w:after="0" w:line="288" w:lineRule="auto"/>
        <w:tabs>
          <w:tab w:leader="none" w:pos="92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development of carbon capture, circular utilization, and sequestration technologies, including the adoption of cost-effective carbon-related technologies such as carbon capture, utilization, and storage;</w:t>
      </w:r>
    </w:p>
    <w:p>
      <w:pPr>
        <w:spacing w:after="0" w:line="49" w:lineRule="exact"/>
        <w:rPr>
          <w:rFonts w:ascii="Times New Roman" w:cs="Times New Roman" w:eastAsia="Times New Roman" w:hAnsi="Times New Roman"/>
          <w:sz w:val="14"/>
          <w:szCs w:val="14"/>
          <w:color w:val="auto"/>
        </w:rPr>
      </w:pPr>
    </w:p>
    <w:p>
      <w:pPr>
        <w:ind w:left="920" w:hanging="331"/>
        <w:spacing w:after="0"/>
        <w:tabs>
          <w:tab w:leader="none" w:pos="92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availability of accurate, verifiable, reliable, consistent, and comparable climate-related data;</w:t>
      </w:r>
    </w:p>
    <w:p>
      <w:pPr>
        <w:spacing w:after="0" w:line="105" w:lineRule="exact"/>
        <w:rPr>
          <w:rFonts w:ascii="Times New Roman" w:cs="Times New Roman" w:eastAsia="Times New Roman" w:hAnsi="Times New Roman"/>
          <w:sz w:val="14"/>
          <w:szCs w:val="14"/>
          <w:color w:val="auto"/>
        </w:rPr>
      </w:pPr>
    </w:p>
    <w:p>
      <w:pPr>
        <w:ind w:left="920" w:hanging="331"/>
        <w:spacing w:after="0"/>
        <w:tabs>
          <w:tab w:leader="none" w:pos="92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lack of transparency and comparability of climate-related forward-looking methodologies;</w:t>
      </w:r>
    </w:p>
    <w:p>
      <w:pPr>
        <w:spacing w:after="0" w:line="105" w:lineRule="exact"/>
        <w:rPr>
          <w:rFonts w:ascii="Times New Roman" w:cs="Times New Roman" w:eastAsia="Times New Roman" w:hAnsi="Times New Roman"/>
          <w:sz w:val="14"/>
          <w:szCs w:val="14"/>
          <w:color w:val="auto"/>
        </w:rPr>
      </w:pPr>
    </w:p>
    <w:p>
      <w:pPr>
        <w:ind w:left="920" w:right="659" w:hanging="331"/>
        <w:spacing w:after="0" w:line="288" w:lineRule="auto"/>
        <w:tabs>
          <w:tab w:leader="none" w:pos="92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variation in approaches and outcomes, as variations in methodologies may lead to under or overestimates and consequently present exaggerated indication of climate-related risk; and</w:t>
      </w:r>
    </w:p>
    <w:p>
      <w:pPr>
        <w:spacing w:after="0" w:line="49" w:lineRule="exact"/>
        <w:rPr>
          <w:rFonts w:ascii="Times New Roman" w:cs="Times New Roman" w:eastAsia="Times New Roman" w:hAnsi="Times New Roman"/>
          <w:sz w:val="14"/>
          <w:szCs w:val="14"/>
          <w:color w:val="auto"/>
        </w:rPr>
      </w:pPr>
    </w:p>
    <w:p>
      <w:pPr>
        <w:ind w:left="920" w:right="439" w:hanging="331"/>
        <w:spacing w:after="0" w:line="288" w:lineRule="auto"/>
        <w:tabs>
          <w:tab w:leader="none" w:pos="92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reliance on assumptions and future uncertainty (calculations of forward-looking metrics are complex and require many methodological choices and assumptions).</w:t>
      </w:r>
    </w:p>
    <w:p>
      <w:pPr>
        <w:spacing w:after="0" w:line="124" w:lineRule="exact"/>
        <w:rPr>
          <w:sz w:val="20"/>
          <w:szCs w:val="20"/>
          <w:color w:val="auto"/>
        </w:rPr>
      </w:pPr>
    </w:p>
    <w:p>
      <w:pPr>
        <w:ind w:left="160" w:right="239" w:firstLine="347"/>
        <w:spacing w:after="0" w:line="271" w:lineRule="auto"/>
        <w:rPr>
          <w:sz w:val="20"/>
          <w:szCs w:val="20"/>
          <w:color w:val="auto"/>
        </w:rPr>
      </w:pPr>
      <w:r>
        <w:rPr>
          <w:rFonts w:ascii="Times New Roman" w:cs="Times New Roman" w:eastAsia="Times New Roman" w:hAnsi="Times New Roman"/>
          <w:sz w:val="14"/>
          <w:szCs w:val="14"/>
          <w:color w:val="auto"/>
        </w:rPr>
        <w:t>Accordingly, undue reliance should not be placed on these forward-looking statements. Furthermore, changing national and international standards, industry and scientific practices, regulatory requirements, and market expectations regarding climate change, which remain under continuous development, are subject to different interpretations.</w:t>
      </w:r>
    </w:p>
    <w:p>
      <w:pPr>
        <w:spacing w:after="0" w:line="136" w:lineRule="exact"/>
        <w:rPr>
          <w:sz w:val="20"/>
          <w:szCs w:val="20"/>
          <w:color w:val="auto"/>
        </w:rPr>
      </w:pPr>
    </w:p>
    <w:p>
      <w:pPr>
        <w:ind w:left="160" w:right="199" w:firstLine="347"/>
        <w:spacing w:after="0" w:line="271" w:lineRule="auto"/>
        <w:rPr>
          <w:sz w:val="20"/>
          <w:szCs w:val="20"/>
          <w:color w:val="auto"/>
        </w:rPr>
      </w:pPr>
      <w:r>
        <w:rPr>
          <w:rFonts w:ascii="Times New Roman" w:cs="Times New Roman" w:eastAsia="Times New Roman" w:hAnsi="Times New Roman"/>
          <w:sz w:val="14"/>
          <w:szCs w:val="14"/>
          <w:color w:val="auto"/>
        </w:rPr>
        <w:t>There can be no assurance that these standards, practices, requirements, and expectations will not be interpreted differently than our understanding when defining sustainability-related ambitions and targets or change in a manner that substantially increases the cost or effort for us to achieve such ambitions and targets.</w:t>
      </w:r>
    </w:p>
    <w:p>
      <w:pPr>
        <w:spacing w:after="0" w:line="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8</w:t>
      </w:r>
    </w:p>
    <w:p>
      <w:pPr>
        <w:sectPr>
          <w:pgSz w:w="11900" w:h="16838" w:orient="portrait"/>
          <w:cols w:equalWidth="0" w:num="1">
            <w:col w:w="9019"/>
          </w:cols>
          <w:pgMar w:left="1440" w:top="240" w:right="1440" w:bottom="1440" w:gutter="0" w:footer="0" w:header="0"/>
        </w:sectPr>
      </w:pPr>
    </w:p>
    <w:bookmarkStart w:id="11" w:name="page12"/>
    <w:bookmarkEnd w:id="11"/>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4">
                      <a:extLst>
                        <a:ext uri="{28A0092B-C50C-407E-A947-70E740481C1C}"/>
                      </a:extLst>
                    </a:blip>
                    <a:srcRect/>
                    <a:stretch>
                      <a:fillRect/>
                    </a:stretch>
                  </pic:blipFill>
                  <pic:spPr bwMode="auto">
                    <a:xfrm>
                      <a:off x="0" y="0"/>
                      <a:ext cx="7200265" cy="33020"/>
                    </a:xfrm>
                    <a:prstGeom prst="rect">
                      <a:avLst/>
                    </a:prstGeom>
                    <a:noFill/>
                  </pic:spPr>
                </pic:pic>
              </a:graphicData>
            </a:graphic>
          </wp:anchor>
        </w:drawing>
        <w:t>THE COMPANY</w:t>
      </w:r>
    </w:p>
    <w:p>
      <w:pPr>
        <w:spacing w:after="0" w:line="181" w:lineRule="exact"/>
        <w:rPr>
          <w:sz w:val="20"/>
          <w:szCs w:val="20"/>
          <w:color w:val="auto"/>
        </w:rPr>
      </w:pPr>
    </w:p>
    <w:p>
      <w:pPr>
        <w:ind w:left="160" w:right="219" w:firstLine="347"/>
        <w:spacing w:after="0" w:line="260" w:lineRule="auto"/>
        <w:rPr>
          <w:sz w:val="20"/>
          <w:szCs w:val="20"/>
          <w:color w:val="auto"/>
        </w:rPr>
      </w:pPr>
      <w:r>
        <w:rPr>
          <w:rFonts w:ascii="Times New Roman" w:cs="Times New Roman" w:eastAsia="Times New Roman" w:hAnsi="Times New Roman"/>
          <w:sz w:val="14"/>
          <w:szCs w:val="14"/>
          <w:color w:val="auto"/>
        </w:rPr>
        <w:t>Cemex, S.A.B. de C.V. is an operating and a holding company engaged, directly or indirectly, through its operating subsidiaries, primarily in the production, distribution, marketing and sale of cement, ready-mix concrete, aggregates, clinker, other construction materials and a portfolio of complementary products designed to address urbanization opportunities and evolving industry trends throughout the world. Cemex, S.A.B. de C.V. also owns a substantial part of the intangible assets and intellectual property used by it and its operating subsidiaries in connection with the conduct of their respective business operations worldwide. We also provide related services and reliable construction-related services to customers and communities and maintain business relationships in more than 65 countries throughout the world.</w:t>
      </w:r>
    </w:p>
    <w:p>
      <w:pPr>
        <w:spacing w:after="0" w:line="145" w:lineRule="exact"/>
        <w:rPr>
          <w:sz w:val="20"/>
          <w:szCs w:val="20"/>
          <w:color w:val="auto"/>
        </w:rPr>
      </w:pPr>
    </w:p>
    <w:p>
      <w:pPr>
        <w:ind w:left="160" w:right="199" w:firstLine="347"/>
        <w:spacing w:after="0" w:line="260" w:lineRule="auto"/>
        <w:rPr>
          <w:sz w:val="20"/>
          <w:szCs w:val="20"/>
          <w:color w:val="auto"/>
        </w:rPr>
      </w:pPr>
      <w:r>
        <w:rPr>
          <w:rFonts w:ascii="Times New Roman" w:cs="Times New Roman" w:eastAsia="Times New Roman" w:hAnsi="Times New Roman"/>
          <w:sz w:val="14"/>
          <w:szCs w:val="14"/>
          <w:color w:val="auto"/>
        </w:rPr>
        <w:t>We are one of the largest cement companies in the world, based on annual installed cement production capacity. As of December 31, 2025, we had 78.0 million tons of annual installed cement production capacity and our cement sales volumes in 2025 were 48.0 million tons. We estimate we are one of the largest ready-mix concrete and aggregates companies in the world with annual sales volumes of 42.9 million cubic meters and 132.5 million tons, respectively, in each case, based on our annual sales volumes in 2025. In 2025, we traded approximately 12 million tons of cementitious and non-cementitious materials in more than 65 countries, including approximately 8 million tons of cement and clinker and approximately 4 million tons of cementitious and other materials.</w:t>
      </w:r>
    </w:p>
    <w:p>
      <w:pPr>
        <w:spacing w:after="0" w:line="145" w:lineRule="exact"/>
        <w:rPr>
          <w:sz w:val="20"/>
          <w:szCs w:val="20"/>
          <w:color w:val="auto"/>
        </w:rPr>
      </w:pPr>
    </w:p>
    <w:p>
      <w:pPr>
        <w:ind w:left="160" w:right="219" w:firstLine="347"/>
        <w:spacing w:after="0" w:line="288" w:lineRule="auto"/>
        <w:rPr>
          <w:sz w:val="20"/>
          <w:szCs w:val="20"/>
          <w:color w:val="auto"/>
        </w:rPr>
      </w:pPr>
      <w:r>
        <w:rPr>
          <w:rFonts w:ascii="Times New Roman" w:cs="Times New Roman" w:eastAsia="Times New Roman" w:hAnsi="Times New Roman"/>
          <w:sz w:val="14"/>
          <w:szCs w:val="14"/>
          <w:color w:val="auto"/>
        </w:rPr>
        <w:t>We operate in different parts of the world, with operations in Mexico, the United States, Europe, the Middle East and Africa region, and the South America, Central America and Caribbean region.</w:t>
      </w:r>
    </w:p>
    <w:p>
      <w:pPr>
        <w:spacing w:after="0" w:line="122" w:lineRule="exact"/>
        <w:rPr>
          <w:sz w:val="20"/>
          <w:szCs w:val="20"/>
          <w:color w:val="auto"/>
        </w:rPr>
      </w:pPr>
    </w:p>
    <w:p>
      <w:pPr>
        <w:ind w:left="160" w:right="199" w:firstLine="347"/>
        <w:spacing w:after="0" w:line="263" w:lineRule="auto"/>
        <w:rPr>
          <w:sz w:val="20"/>
          <w:szCs w:val="20"/>
          <w:color w:val="auto"/>
        </w:rPr>
      </w:pPr>
      <w:r>
        <w:rPr>
          <w:rFonts w:ascii="Times New Roman" w:cs="Times New Roman" w:eastAsia="Times New Roman" w:hAnsi="Times New Roman"/>
          <w:sz w:val="14"/>
          <w:szCs w:val="14"/>
          <w:color w:val="auto"/>
        </w:rPr>
        <w:t>Cemex, S.A.B. de C.V. is a publicly traded variable stock corporation (</w:t>
      </w:r>
      <w:r>
        <w:rPr>
          <w:rFonts w:ascii="Times New Roman" w:cs="Times New Roman" w:eastAsia="Times New Roman" w:hAnsi="Times New Roman"/>
          <w:sz w:val="14"/>
          <w:szCs w:val="14"/>
          <w:i w:val="1"/>
          <w:iCs w:val="1"/>
          <w:color w:val="auto"/>
        </w:rPr>
        <w:t>sociedad anónima bursátil de capital variable</w:t>
      </w:r>
      <w:r>
        <w:rPr>
          <w:rFonts w:ascii="Times New Roman" w:cs="Times New Roman" w:eastAsia="Times New Roman" w:hAnsi="Times New Roman"/>
          <w:sz w:val="14"/>
          <w:szCs w:val="14"/>
          <w:color w:val="auto"/>
        </w:rPr>
        <w:t>) organized under the laws of Mexico, with its principal executive offices located at Avenida Ricardo Margáin Zozaya #325, Colonia Valle del Campestre, San Pedro Garza García, Nuevo León, 66265, Mexico. Cemex, S.A.B. de C.V.’s main phone number is +52 81 8888-8888. Our website is located at www.cemex.com. The information on our website is not, and is not intended to be, part of, or incorporated by reference in, this prospectus or any accompanying prospectus supplement.</w:t>
      </w:r>
    </w:p>
    <w:p>
      <w:pPr>
        <w:spacing w:after="0" w:line="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9</w:t>
      </w:r>
    </w:p>
    <w:p>
      <w:pPr>
        <w:sectPr>
          <w:pgSz w:w="11900" w:h="16838" w:orient="portrait"/>
          <w:cols w:equalWidth="0" w:num="1">
            <w:col w:w="9019"/>
          </w:cols>
          <w:pgMar w:left="1440" w:top="240" w:right="1440" w:bottom="1440"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5">
                      <a:extLst>
                        <a:ext uri="{28A0092B-C50C-407E-A947-70E740481C1C}"/>
                      </a:extLst>
                    </a:blip>
                    <a:srcRect/>
                    <a:stretch>
                      <a:fillRect/>
                    </a:stretch>
                  </pic:blipFill>
                  <pic:spPr bwMode="auto">
                    <a:xfrm>
                      <a:off x="0" y="0"/>
                      <a:ext cx="7200265" cy="33020"/>
                    </a:xfrm>
                    <a:prstGeom prst="rect">
                      <a:avLst/>
                    </a:prstGeom>
                    <a:noFill/>
                  </pic:spPr>
                </pic:pic>
              </a:graphicData>
            </a:graphic>
          </wp:anchor>
        </w:drawing>
        <w:t>RISK FACTORS</w:t>
      </w:r>
    </w:p>
    <w:p>
      <w:pPr>
        <w:spacing w:after="0" w:line="181" w:lineRule="exact"/>
        <w:rPr>
          <w:sz w:val="20"/>
          <w:szCs w:val="20"/>
          <w:color w:val="auto"/>
        </w:rPr>
      </w:pPr>
    </w:p>
    <w:p>
      <w:pPr>
        <w:ind w:left="160" w:right="199" w:firstLine="347"/>
        <w:spacing w:after="0" w:line="259" w:lineRule="auto"/>
        <w:rPr>
          <w:sz w:val="20"/>
          <w:szCs w:val="20"/>
          <w:color w:val="auto"/>
        </w:rPr>
      </w:pPr>
      <w:r>
        <w:rPr>
          <w:rFonts w:ascii="Times New Roman" w:cs="Times New Roman" w:eastAsia="Times New Roman" w:hAnsi="Times New Roman"/>
          <w:sz w:val="14"/>
          <w:szCs w:val="14"/>
          <w:color w:val="auto"/>
        </w:rPr>
        <w:t>Investing in our securities involves risk. See the risk factors described in our most recent Annual Report on Form 20-F (together with any material changes thereto contained in subsequent reports we file or furnish with the SEC that are incorporated by reference in this prospectus and any accompanying prospectus supplement) and those contained in our other reports we file or furnish with the SEC that are incorporated by reference in this prospectus and any accompanying prospectus supplement. Before making an investment decision, you should carefully consider these risks as well as other information we include or incorporate by reference in this prospectus and any accompanying prospectus supplement. These risks could materially affect our business, financial condition or results of operations and cause the value of our securities to decline. You could lose all or part of your investment.</w:t>
      </w:r>
    </w:p>
    <w:p>
      <w:pPr>
        <w:spacing w:after="0" w:line="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w:t>
      </w:r>
    </w:p>
    <w:p>
      <w:pPr>
        <w:sectPr>
          <w:pgSz w:w="11900" w:h="16838" w:orient="portrait"/>
          <w:cols w:equalWidth="0" w:num="1">
            <w:col w:w="9019"/>
          </w:cols>
          <w:pgMar w:left="1440" w:top="240" w:right="1440" w:bottom="1440" w:gutter="0" w:footer="0" w:header="0"/>
        </w:sectPr>
      </w:pPr>
    </w:p>
    <w:bookmarkStart w:id="13" w:name="page14"/>
    <w:bookmarkEnd w:id="13"/>
    <w:p>
      <w:pPr>
        <w:jc w:val="center"/>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6">
                      <a:extLst>
                        <a:ext uri="{28A0092B-C50C-407E-A947-70E740481C1C}"/>
                      </a:extLst>
                    </a:blip>
                    <a:srcRect/>
                    <a:stretch>
                      <a:fillRect/>
                    </a:stretch>
                  </pic:blipFill>
                  <pic:spPr bwMode="auto">
                    <a:xfrm>
                      <a:off x="0" y="0"/>
                      <a:ext cx="7200265" cy="33020"/>
                    </a:xfrm>
                    <a:prstGeom prst="rect">
                      <a:avLst/>
                    </a:prstGeom>
                    <a:noFill/>
                  </pic:spPr>
                </pic:pic>
              </a:graphicData>
            </a:graphic>
          </wp:anchor>
        </w:drawing>
        <w:t>USE OF PROCEEDS</w:t>
      </w:r>
    </w:p>
    <w:p>
      <w:pPr>
        <w:spacing w:after="0" w:line="18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We intend to use the net proceeds from the sales of the securities offered by us as set forth in the applicable prospectus supplement.</w:t>
      </w:r>
    </w:p>
    <w:p>
      <w:pPr>
        <w:spacing w:after="0" w:line="126"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4"/>
          <w:szCs w:val="14"/>
          <w:color w:val="auto"/>
        </w:rPr>
        <w:t>11</w:t>
      </w:r>
    </w:p>
    <w:p>
      <w:pPr>
        <w:sectPr>
          <w:pgSz w:w="11900" w:h="16838" w:orient="portrait"/>
          <w:cols w:equalWidth="0" w:num="1">
            <w:col w:w="9019"/>
          </w:cols>
          <w:pgMar w:left="1440" w:top="240" w:right="1440" w:bottom="1440" w:gutter="0" w:footer="0" w:header="0"/>
        </w:sectPr>
      </w:pPr>
    </w:p>
    <w:bookmarkStart w:id="14" w:name="page15"/>
    <w:bookmarkEnd w:id="14"/>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7">
                      <a:extLst>
                        <a:ext uri="{28A0092B-C50C-407E-A947-70E740481C1C}"/>
                      </a:extLst>
                    </a:blip>
                    <a:srcRect/>
                    <a:stretch>
                      <a:fillRect/>
                    </a:stretch>
                  </pic:blipFill>
                  <pic:spPr bwMode="auto">
                    <a:xfrm>
                      <a:off x="0" y="0"/>
                      <a:ext cx="7200265" cy="33020"/>
                    </a:xfrm>
                    <a:prstGeom prst="rect">
                      <a:avLst/>
                    </a:prstGeom>
                    <a:noFill/>
                  </pic:spPr>
                </pic:pic>
              </a:graphicData>
            </a:graphic>
          </wp:anchor>
        </w:drawing>
        <w:t>DESCRIPTION OF DEBT SECURITIES AND GUARANTEES</w:t>
      </w:r>
    </w:p>
    <w:p>
      <w:pPr>
        <w:spacing w:after="0" w:line="18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We may offer debt securities in one or more series, which may be senior debt securities or subordinated debt securities.</w:t>
      </w:r>
    </w:p>
    <w:p>
      <w:pPr>
        <w:spacing w:after="0" w:line="179" w:lineRule="exact"/>
        <w:rPr>
          <w:sz w:val="20"/>
          <w:szCs w:val="20"/>
          <w:color w:val="auto"/>
        </w:rPr>
      </w:pPr>
    </w:p>
    <w:p>
      <w:pPr>
        <w:ind w:left="160" w:right="199" w:firstLine="347"/>
        <w:spacing w:after="0" w:line="258" w:lineRule="auto"/>
        <w:rPr>
          <w:sz w:val="20"/>
          <w:szCs w:val="20"/>
          <w:color w:val="auto"/>
        </w:rPr>
      </w:pPr>
      <w:r>
        <w:rPr>
          <w:rFonts w:ascii="Times New Roman" w:cs="Times New Roman" w:eastAsia="Times New Roman" w:hAnsi="Times New Roman"/>
          <w:sz w:val="14"/>
          <w:szCs w:val="14"/>
          <w:color w:val="auto"/>
        </w:rPr>
        <w:t>The following description briefly sets forth certain general terms and provisions of the debt securities. Certain of our subsidiaries may guarantee the debt securities offered under this prospectus. The particular terms of the debt securities and the guarantees offered by any prospectus supplement and the extent, if any, to which the following general terms and provisions may apply to the debt securities and the guarantees, will be described in an accompanying prospectus supplement. Unless otherwise specified in an accompanying prospectus supplement, our debt securities and any related guarantees will be issued in one or more series under an indenture to be entered into between us and The Bank of New York Mellon, as trustee, or such other trustee named therein. A form of the indenture is attached as an exhibit to the registration statement of which this prospectus forms a part. The terms of the debt securities and the guarantees will include those set forth in the indenture and those made a part of the indenture by the Trust Indenture Act of 1939 (“TIA”). You should read the summary below, any accompanying prospectus supplement and the provisions of the indenture in their entirety before investing in our debt securities and guarantees.</w:t>
      </w:r>
    </w:p>
    <w:p>
      <w:pPr>
        <w:spacing w:after="0" w:line="145" w:lineRule="exact"/>
        <w:rPr>
          <w:sz w:val="20"/>
          <w:szCs w:val="20"/>
          <w:color w:val="auto"/>
        </w:rPr>
      </w:pPr>
    </w:p>
    <w:p>
      <w:pPr>
        <w:jc w:val="both"/>
        <w:ind w:left="160" w:right="279" w:firstLine="347"/>
        <w:spacing w:after="0" w:line="288" w:lineRule="auto"/>
        <w:rPr>
          <w:sz w:val="20"/>
          <w:szCs w:val="20"/>
          <w:color w:val="auto"/>
        </w:rPr>
      </w:pPr>
      <w:r>
        <w:rPr>
          <w:rFonts w:ascii="Times New Roman" w:cs="Times New Roman" w:eastAsia="Times New Roman" w:hAnsi="Times New Roman"/>
          <w:sz w:val="14"/>
          <w:szCs w:val="14"/>
          <w:color w:val="auto"/>
        </w:rPr>
        <w:t>The aggregate principal amount of debt securities that may be issued under the indenture is unlimited. The prospectus supplement relating to any series of debt securities that we may offer will contain the specific terms of the debt securities. These terms may include, among others, the following:</w:t>
      </w:r>
    </w:p>
    <w:p>
      <w:pPr>
        <w:spacing w:after="0" w:line="50" w:lineRule="exact"/>
        <w:rPr>
          <w:sz w:val="20"/>
          <w:szCs w:val="20"/>
          <w:color w:val="auto"/>
        </w:rPr>
      </w:pPr>
    </w:p>
    <w:p>
      <w:pPr>
        <w:ind w:left="920" w:hanging="331"/>
        <w:spacing w:after="0"/>
        <w:tabs>
          <w:tab w:leader="none" w:pos="9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title and aggregate principal amount of the debt securities and any limit on the aggregate principal amount of such series;</w:t>
      </w:r>
    </w:p>
    <w:p>
      <w:pPr>
        <w:spacing w:after="0" w:line="105" w:lineRule="exact"/>
        <w:rPr>
          <w:rFonts w:ascii="Times New Roman" w:cs="Times New Roman" w:eastAsia="Times New Roman" w:hAnsi="Times New Roman"/>
          <w:sz w:val="14"/>
          <w:szCs w:val="14"/>
          <w:color w:val="auto"/>
        </w:rPr>
      </w:pPr>
    </w:p>
    <w:p>
      <w:pPr>
        <w:ind w:left="920" w:hanging="331"/>
        <w:spacing w:after="0"/>
        <w:tabs>
          <w:tab w:leader="none" w:pos="9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applicable subordination provisions for any subordinated debt securities;</w:t>
      </w:r>
    </w:p>
    <w:p>
      <w:pPr>
        <w:spacing w:after="0" w:line="105" w:lineRule="exact"/>
        <w:rPr>
          <w:rFonts w:ascii="Times New Roman" w:cs="Times New Roman" w:eastAsia="Times New Roman" w:hAnsi="Times New Roman"/>
          <w:sz w:val="14"/>
          <w:szCs w:val="14"/>
          <w:color w:val="auto"/>
        </w:rPr>
      </w:pPr>
    </w:p>
    <w:p>
      <w:pPr>
        <w:ind w:left="920" w:hanging="331"/>
        <w:spacing w:after="0"/>
        <w:tabs>
          <w:tab w:leader="none" w:pos="9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maturity date(s) or method for determining same;</w:t>
      </w:r>
    </w:p>
    <w:p>
      <w:pPr>
        <w:spacing w:after="0" w:line="105" w:lineRule="exact"/>
        <w:rPr>
          <w:rFonts w:ascii="Times New Roman" w:cs="Times New Roman" w:eastAsia="Times New Roman" w:hAnsi="Times New Roman"/>
          <w:sz w:val="14"/>
          <w:szCs w:val="14"/>
          <w:color w:val="auto"/>
        </w:rPr>
      </w:pPr>
    </w:p>
    <w:p>
      <w:pPr>
        <w:ind w:left="920" w:hanging="331"/>
        <w:spacing w:after="0"/>
        <w:tabs>
          <w:tab w:leader="none" w:pos="9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interest rate(s) or the method for determining same;</w:t>
      </w:r>
    </w:p>
    <w:p>
      <w:pPr>
        <w:spacing w:after="0" w:line="105" w:lineRule="exact"/>
        <w:rPr>
          <w:rFonts w:ascii="Times New Roman" w:cs="Times New Roman" w:eastAsia="Times New Roman" w:hAnsi="Times New Roman"/>
          <w:sz w:val="14"/>
          <w:szCs w:val="14"/>
          <w:color w:val="auto"/>
        </w:rPr>
      </w:pPr>
    </w:p>
    <w:p>
      <w:pPr>
        <w:ind w:left="920" w:right="339" w:hanging="331"/>
        <w:spacing w:after="0" w:line="288" w:lineRule="auto"/>
        <w:tabs>
          <w:tab w:leader="none" w:pos="9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dates on which interest will accrue or the method for determining dates on which interest will accrue and dates on which interest will be payable and whether interest will be payable in cash, additional securities or some combination thereof;</w:t>
      </w:r>
    </w:p>
    <w:p>
      <w:pPr>
        <w:spacing w:after="0" w:line="49" w:lineRule="exact"/>
        <w:rPr>
          <w:rFonts w:ascii="Times New Roman" w:cs="Times New Roman" w:eastAsia="Times New Roman" w:hAnsi="Times New Roman"/>
          <w:sz w:val="14"/>
          <w:szCs w:val="14"/>
          <w:color w:val="auto"/>
        </w:rPr>
      </w:pPr>
    </w:p>
    <w:p>
      <w:pPr>
        <w:ind w:left="920" w:hanging="331"/>
        <w:spacing w:after="0"/>
        <w:tabs>
          <w:tab w:leader="none" w:pos="9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whether the debt securities are convertible or exchangeable into other securities and any related terms and conditions;</w:t>
      </w:r>
    </w:p>
    <w:p>
      <w:pPr>
        <w:spacing w:after="0" w:line="105" w:lineRule="exact"/>
        <w:rPr>
          <w:rFonts w:ascii="Times New Roman" w:cs="Times New Roman" w:eastAsia="Times New Roman" w:hAnsi="Times New Roman"/>
          <w:sz w:val="14"/>
          <w:szCs w:val="14"/>
          <w:color w:val="auto"/>
        </w:rPr>
      </w:pPr>
    </w:p>
    <w:p>
      <w:pPr>
        <w:ind w:left="920" w:hanging="331"/>
        <w:spacing w:after="0"/>
        <w:tabs>
          <w:tab w:leader="none" w:pos="9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redemption or early repayment provisions;</w:t>
      </w:r>
    </w:p>
    <w:p>
      <w:pPr>
        <w:spacing w:after="0" w:line="105" w:lineRule="exact"/>
        <w:rPr>
          <w:rFonts w:ascii="Times New Roman" w:cs="Times New Roman" w:eastAsia="Times New Roman" w:hAnsi="Times New Roman"/>
          <w:sz w:val="14"/>
          <w:szCs w:val="14"/>
          <w:color w:val="auto"/>
        </w:rPr>
      </w:pPr>
    </w:p>
    <w:p>
      <w:pPr>
        <w:ind w:left="920" w:hanging="331"/>
        <w:spacing w:after="0"/>
        <w:tabs>
          <w:tab w:leader="none" w:pos="9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authorized denominations;</w:t>
      </w:r>
    </w:p>
    <w:p>
      <w:pPr>
        <w:spacing w:after="0" w:line="105" w:lineRule="exact"/>
        <w:rPr>
          <w:rFonts w:ascii="Times New Roman" w:cs="Times New Roman" w:eastAsia="Times New Roman" w:hAnsi="Times New Roman"/>
          <w:sz w:val="14"/>
          <w:szCs w:val="14"/>
          <w:color w:val="auto"/>
        </w:rPr>
      </w:pPr>
    </w:p>
    <w:p>
      <w:pPr>
        <w:ind w:left="920" w:hanging="331"/>
        <w:spacing w:after="0"/>
        <w:tabs>
          <w:tab w:leader="none" w:pos="9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other than the principal amount, the principal amount of debt securities payable upon acceleration;</w:t>
      </w:r>
    </w:p>
    <w:p>
      <w:pPr>
        <w:spacing w:after="0" w:line="105" w:lineRule="exact"/>
        <w:rPr>
          <w:rFonts w:ascii="Times New Roman" w:cs="Times New Roman" w:eastAsia="Times New Roman" w:hAnsi="Times New Roman"/>
          <w:sz w:val="14"/>
          <w:szCs w:val="14"/>
          <w:color w:val="auto"/>
        </w:rPr>
      </w:pPr>
    </w:p>
    <w:p>
      <w:pPr>
        <w:ind w:left="920" w:right="199" w:hanging="331"/>
        <w:spacing w:after="0" w:line="288" w:lineRule="auto"/>
        <w:tabs>
          <w:tab w:leader="none" w:pos="9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place(s) where payment of principal and interest may be made, where debt securities may be presented and where notices or demands upon the company may be made;</w:t>
      </w:r>
    </w:p>
    <w:p>
      <w:pPr>
        <w:spacing w:after="0" w:line="49" w:lineRule="exact"/>
        <w:rPr>
          <w:rFonts w:ascii="Times New Roman" w:cs="Times New Roman" w:eastAsia="Times New Roman" w:hAnsi="Times New Roman"/>
          <w:sz w:val="14"/>
          <w:szCs w:val="14"/>
          <w:color w:val="auto"/>
        </w:rPr>
      </w:pPr>
    </w:p>
    <w:p>
      <w:pPr>
        <w:ind w:left="920" w:hanging="331"/>
        <w:spacing w:after="0"/>
        <w:tabs>
          <w:tab w:leader="none" w:pos="9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form or forms of the debt securities of the series including such legends as may be required by applicable law;</w:t>
      </w:r>
    </w:p>
    <w:p>
      <w:pPr>
        <w:spacing w:after="0" w:line="105" w:lineRule="exact"/>
        <w:rPr>
          <w:rFonts w:ascii="Times New Roman" w:cs="Times New Roman" w:eastAsia="Times New Roman" w:hAnsi="Times New Roman"/>
          <w:sz w:val="14"/>
          <w:szCs w:val="14"/>
          <w:color w:val="auto"/>
        </w:rPr>
      </w:pPr>
    </w:p>
    <w:p>
      <w:pPr>
        <w:ind w:left="920" w:right="559" w:hanging="331"/>
        <w:spacing w:after="0" w:line="288" w:lineRule="auto"/>
        <w:tabs>
          <w:tab w:leader="none" w:pos="9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whether the debt securities will be issued in whole or in part in the form of one or more global securities and the date as of which the securities are dated if other than the date of original issuance;</w:t>
      </w:r>
    </w:p>
    <w:p>
      <w:pPr>
        <w:spacing w:after="0" w:line="49" w:lineRule="exact"/>
        <w:rPr>
          <w:rFonts w:ascii="Times New Roman" w:cs="Times New Roman" w:eastAsia="Times New Roman" w:hAnsi="Times New Roman"/>
          <w:sz w:val="14"/>
          <w:szCs w:val="14"/>
          <w:color w:val="auto"/>
        </w:rPr>
      </w:pPr>
    </w:p>
    <w:p>
      <w:pPr>
        <w:ind w:left="920" w:hanging="331"/>
        <w:spacing w:after="0"/>
        <w:tabs>
          <w:tab w:leader="none" w:pos="9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whether the debt securities are secured and the terms of such security;</w:t>
      </w:r>
    </w:p>
    <w:p>
      <w:pPr>
        <w:spacing w:after="0" w:line="104" w:lineRule="exact"/>
        <w:rPr>
          <w:rFonts w:ascii="Times New Roman" w:cs="Times New Roman" w:eastAsia="Times New Roman" w:hAnsi="Times New Roman"/>
          <w:sz w:val="14"/>
          <w:szCs w:val="14"/>
          <w:color w:val="auto"/>
        </w:rPr>
      </w:pPr>
    </w:p>
    <w:p>
      <w:pPr>
        <w:ind w:left="920" w:hanging="331"/>
        <w:spacing w:after="0"/>
        <w:tabs>
          <w:tab w:leader="none" w:pos="9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amount of discount or premium, if any, with which the debt securities will be issued;</w:t>
      </w:r>
    </w:p>
    <w:p>
      <w:pPr>
        <w:spacing w:after="0" w:line="104" w:lineRule="exact"/>
        <w:rPr>
          <w:rFonts w:ascii="Times New Roman" w:cs="Times New Roman" w:eastAsia="Times New Roman" w:hAnsi="Times New Roman"/>
          <w:sz w:val="14"/>
          <w:szCs w:val="14"/>
          <w:color w:val="auto"/>
        </w:rPr>
      </w:pPr>
    </w:p>
    <w:p>
      <w:pPr>
        <w:ind w:left="920" w:hanging="331"/>
        <w:spacing w:after="0"/>
        <w:tabs>
          <w:tab w:leader="none" w:pos="9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covenants applicable to the particular debt securities being issued;</w:t>
      </w:r>
    </w:p>
    <w:p>
      <w:pPr>
        <w:spacing w:after="0" w:line="104" w:lineRule="exact"/>
        <w:rPr>
          <w:rFonts w:ascii="Times New Roman" w:cs="Times New Roman" w:eastAsia="Times New Roman" w:hAnsi="Times New Roman"/>
          <w:sz w:val="14"/>
          <w:szCs w:val="14"/>
          <w:color w:val="auto"/>
        </w:rPr>
      </w:pPr>
    </w:p>
    <w:p>
      <w:pPr>
        <w:ind w:left="920" w:hanging="331"/>
        <w:spacing w:after="0"/>
        <w:tabs>
          <w:tab w:leader="none" w:pos="9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additions or changes in the defaults and events of default applicable to the particular debt securities being issued;</w:t>
      </w:r>
    </w:p>
    <w:p>
      <w:pPr>
        <w:spacing w:after="0" w:line="1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12</w:t>
      </w:r>
    </w:p>
    <w:p>
      <w:pPr>
        <w:sectPr>
          <w:pgSz w:w="11900" w:h="16838" w:orient="portrait"/>
          <w:cols w:equalWidth="0" w:num="1">
            <w:col w:w="9019"/>
          </w:cols>
          <w:pgMar w:left="1440" w:top="240" w:right="1440" w:bottom="1440" w:gutter="0" w:footer="0" w:header="0"/>
        </w:sectPr>
      </w:pPr>
    </w:p>
    <w:bookmarkStart w:id="15" w:name="page16"/>
    <w:bookmarkEnd w:id="15"/>
    <w:p>
      <w:pPr>
        <w:ind w:left="920" w:right="319" w:hanging="331"/>
        <w:spacing w:after="0" w:line="288" w:lineRule="auto"/>
        <w:tabs>
          <w:tab w:leader="none" w:pos="92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8">
                      <a:extLst>
                        <a:ext uri="{28A0092B-C50C-407E-A947-70E740481C1C}"/>
                      </a:extLst>
                    </a:blip>
                    <a:srcRect/>
                    <a:stretch>
                      <a:fillRect/>
                    </a:stretch>
                  </pic:blipFill>
                  <pic:spPr bwMode="auto">
                    <a:xfrm>
                      <a:off x="0" y="0"/>
                      <a:ext cx="7200265" cy="33020"/>
                    </a:xfrm>
                    <a:prstGeom prst="rect">
                      <a:avLst/>
                    </a:prstGeom>
                    <a:noFill/>
                  </pic:spPr>
                </pic:pic>
              </a:graphicData>
            </a:graphic>
          </wp:anchor>
        </w:drawing>
        <w:t>the guarantors of each series, if any, and the extent of the guarantees (including provisions relating to seniority, subordination and release of the guarantees), if any;</w:t>
      </w:r>
    </w:p>
    <w:p>
      <w:pPr>
        <w:spacing w:after="0" w:line="49" w:lineRule="exact"/>
        <w:rPr>
          <w:rFonts w:ascii="Times New Roman" w:cs="Times New Roman" w:eastAsia="Times New Roman" w:hAnsi="Times New Roman"/>
          <w:sz w:val="14"/>
          <w:szCs w:val="14"/>
          <w:color w:val="auto"/>
        </w:rPr>
      </w:pPr>
    </w:p>
    <w:p>
      <w:pPr>
        <w:ind w:left="920" w:right="359" w:hanging="331"/>
        <w:spacing w:after="0" w:line="288" w:lineRule="auto"/>
        <w:tabs>
          <w:tab w:leader="none" w:pos="92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currency, currencies or currency units in which the purchase price for, the principal of and any premium and any interest on, the debt securities will be payable;</w:t>
      </w:r>
    </w:p>
    <w:p>
      <w:pPr>
        <w:spacing w:after="0" w:line="49" w:lineRule="exact"/>
        <w:rPr>
          <w:rFonts w:ascii="Times New Roman" w:cs="Times New Roman" w:eastAsia="Times New Roman" w:hAnsi="Times New Roman"/>
          <w:sz w:val="14"/>
          <w:szCs w:val="14"/>
          <w:color w:val="auto"/>
        </w:rPr>
      </w:pPr>
    </w:p>
    <w:p>
      <w:pPr>
        <w:ind w:left="920" w:right="399" w:hanging="331"/>
        <w:spacing w:after="0" w:line="288" w:lineRule="auto"/>
        <w:tabs>
          <w:tab w:leader="none" w:pos="92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time period within which, the manner in which and the terms and conditions upon which we or the holders of the debt securities can select the payment currency;</w:t>
      </w:r>
    </w:p>
    <w:p>
      <w:pPr>
        <w:spacing w:after="0" w:line="49" w:lineRule="exact"/>
        <w:rPr>
          <w:rFonts w:ascii="Times New Roman" w:cs="Times New Roman" w:eastAsia="Times New Roman" w:hAnsi="Times New Roman"/>
          <w:sz w:val="14"/>
          <w:szCs w:val="14"/>
          <w:color w:val="auto"/>
        </w:rPr>
      </w:pPr>
    </w:p>
    <w:p>
      <w:pPr>
        <w:ind w:left="920" w:hanging="331"/>
        <w:spacing w:after="0"/>
        <w:tabs>
          <w:tab w:leader="none" w:pos="92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obligation or right to redeem, purchase or repay debt securities under a sinking fund, amortization or analogous provision;</w:t>
      </w:r>
    </w:p>
    <w:p>
      <w:pPr>
        <w:spacing w:after="0" w:line="105" w:lineRule="exact"/>
        <w:rPr>
          <w:rFonts w:ascii="Times New Roman" w:cs="Times New Roman" w:eastAsia="Times New Roman" w:hAnsi="Times New Roman"/>
          <w:sz w:val="14"/>
          <w:szCs w:val="14"/>
          <w:color w:val="auto"/>
        </w:rPr>
      </w:pPr>
    </w:p>
    <w:p>
      <w:pPr>
        <w:ind w:left="920" w:hanging="331"/>
        <w:spacing w:after="0"/>
        <w:tabs>
          <w:tab w:leader="none" w:pos="92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restriction or conditions on the transferability of the debt securities;</w:t>
      </w:r>
    </w:p>
    <w:p>
      <w:pPr>
        <w:spacing w:after="0" w:line="105" w:lineRule="exact"/>
        <w:rPr>
          <w:rFonts w:ascii="Times New Roman" w:cs="Times New Roman" w:eastAsia="Times New Roman" w:hAnsi="Times New Roman"/>
          <w:sz w:val="14"/>
          <w:szCs w:val="14"/>
          <w:color w:val="auto"/>
        </w:rPr>
      </w:pPr>
    </w:p>
    <w:p>
      <w:pPr>
        <w:ind w:left="920" w:hanging="331"/>
        <w:spacing w:after="0"/>
        <w:tabs>
          <w:tab w:leader="none" w:pos="92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provisions granting special rights to holders of the debt securities upon occurrence of specified events;</w:t>
      </w:r>
    </w:p>
    <w:p>
      <w:pPr>
        <w:spacing w:after="0" w:line="105" w:lineRule="exact"/>
        <w:rPr>
          <w:rFonts w:ascii="Times New Roman" w:cs="Times New Roman" w:eastAsia="Times New Roman" w:hAnsi="Times New Roman"/>
          <w:sz w:val="14"/>
          <w:szCs w:val="14"/>
          <w:color w:val="auto"/>
        </w:rPr>
      </w:pPr>
    </w:p>
    <w:p>
      <w:pPr>
        <w:ind w:left="920" w:hanging="331"/>
        <w:spacing w:after="0"/>
        <w:tabs>
          <w:tab w:leader="none" w:pos="92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additions or changes relating to compensation or reimbursement of the trustee of the series of debt securities;</w:t>
      </w:r>
    </w:p>
    <w:p>
      <w:pPr>
        <w:spacing w:after="0" w:line="105" w:lineRule="exact"/>
        <w:rPr>
          <w:rFonts w:ascii="Times New Roman" w:cs="Times New Roman" w:eastAsia="Times New Roman" w:hAnsi="Times New Roman"/>
          <w:sz w:val="14"/>
          <w:szCs w:val="14"/>
          <w:color w:val="auto"/>
        </w:rPr>
      </w:pPr>
    </w:p>
    <w:p>
      <w:pPr>
        <w:ind w:left="920" w:right="459" w:hanging="331"/>
        <w:spacing w:after="0" w:line="288" w:lineRule="auto"/>
        <w:tabs>
          <w:tab w:leader="none" w:pos="92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provisions relating to the modification of the indenture both with and without the consent of holders of debt securities issued under the indenture and the execution of supplemental indentures for such series; and</w:t>
      </w:r>
    </w:p>
    <w:p>
      <w:pPr>
        <w:spacing w:after="0" w:line="49" w:lineRule="exact"/>
        <w:rPr>
          <w:rFonts w:ascii="Times New Roman" w:cs="Times New Roman" w:eastAsia="Times New Roman" w:hAnsi="Times New Roman"/>
          <w:sz w:val="14"/>
          <w:szCs w:val="14"/>
          <w:color w:val="auto"/>
        </w:rPr>
      </w:pPr>
    </w:p>
    <w:p>
      <w:pPr>
        <w:ind w:left="920" w:right="599" w:hanging="331"/>
        <w:spacing w:after="0" w:line="288" w:lineRule="auto"/>
        <w:tabs>
          <w:tab w:leader="none" w:pos="92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other terms of the debt securities (which terms shall not be inconsistent with the provisions of the TIA, but may modify, amend, supplement or delete any of the terms of the indenture with respect to such series of debt securities).</w:t>
      </w:r>
    </w:p>
    <w:p>
      <w:pPr>
        <w:spacing w:after="0" w:line="20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4"/>
          <w:szCs w:val="14"/>
          <w:b w:val="1"/>
          <w:bCs w:val="1"/>
          <w:color w:val="auto"/>
        </w:rPr>
        <w:t>General</w:t>
      </w:r>
    </w:p>
    <w:p>
      <w:pPr>
        <w:spacing w:after="0" w:line="96" w:lineRule="exact"/>
        <w:rPr>
          <w:sz w:val="20"/>
          <w:szCs w:val="20"/>
          <w:color w:val="auto"/>
        </w:rPr>
      </w:pPr>
    </w:p>
    <w:p>
      <w:pPr>
        <w:ind w:left="160" w:right="179" w:firstLine="347"/>
        <w:spacing w:after="0" w:line="262" w:lineRule="auto"/>
        <w:rPr>
          <w:sz w:val="20"/>
          <w:szCs w:val="20"/>
          <w:color w:val="auto"/>
        </w:rPr>
      </w:pPr>
      <w:r>
        <w:rPr>
          <w:rFonts w:ascii="Times New Roman" w:cs="Times New Roman" w:eastAsia="Times New Roman" w:hAnsi="Times New Roman"/>
          <w:sz w:val="14"/>
          <w:szCs w:val="14"/>
          <w:color w:val="auto"/>
        </w:rPr>
        <w:t xml:space="preserve">We may sell the debt securities, including original issue discount securities, at par or at a substantial discount below their stated principal amount. Unless we inform you otherwise in a prospectus supplement, we may issue additional debt securities of a particular series without the consent of the holders of the debt securities of such series or any other series outstanding at the time of issuance. Any such additional debt securities, together with all other outstanding debt securities of that series, will constitute a single series of securities under the indenture;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that if such notes are not fungible for US tax purposes, they will have a separate CUSIP.</w:t>
      </w:r>
    </w:p>
    <w:p>
      <w:pPr>
        <w:spacing w:after="0" w:line="143" w:lineRule="exact"/>
        <w:rPr>
          <w:sz w:val="20"/>
          <w:szCs w:val="20"/>
          <w:color w:val="auto"/>
        </w:rPr>
      </w:pPr>
    </w:p>
    <w:p>
      <w:pPr>
        <w:ind w:left="160" w:right="199" w:firstLine="347"/>
        <w:spacing w:after="0" w:line="259" w:lineRule="auto"/>
        <w:rPr>
          <w:sz w:val="20"/>
          <w:szCs w:val="20"/>
          <w:color w:val="auto"/>
        </w:rPr>
      </w:pPr>
      <w:r>
        <w:rPr>
          <w:rFonts w:ascii="Times New Roman" w:cs="Times New Roman" w:eastAsia="Times New Roman" w:hAnsi="Times New Roman"/>
          <w:sz w:val="14"/>
          <w:szCs w:val="14"/>
          <w:color w:val="auto"/>
        </w:rPr>
        <w:t>We will describe in an accompanying prospectus supplement any other special considerations for any debt securities we sell that are denominated in a currency or currency unit other than U.S. dollars. In addition, debt securities may be issued where the amount of principal and/or interest payable is determined by reference to one or more currency exchange rates, commodity prices, equity indices or other factors. Holders of such securities may receive a principal amount or a payment of interest that is greater than or less than the amount of principal or interest otherwise payable on such dates, depending upon the value of the applicable currencies, commodities, equity indices or other factors. Information as to the methods for determining the amount of principal or interest, if any, payable on any date, and the currencies, commodities, equity indices or other factors to which the amount payable on such date is linked will be described in an accompanying prospectus supplement.</w:t>
      </w:r>
    </w:p>
    <w:p>
      <w:pPr>
        <w:spacing w:after="0" w:line="146" w:lineRule="exact"/>
        <w:rPr>
          <w:sz w:val="20"/>
          <w:szCs w:val="20"/>
          <w:color w:val="auto"/>
        </w:rPr>
      </w:pPr>
    </w:p>
    <w:p>
      <w:pPr>
        <w:ind w:left="160" w:right="919" w:firstLine="347"/>
        <w:spacing w:after="0" w:line="288" w:lineRule="auto"/>
        <w:rPr>
          <w:sz w:val="20"/>
          <w:szCs w:val="20"/>
          <w:color w:val="auto"/>
        </w:rPr>
      </w:pPr>
      <w:r>
        <w:rPr>
          <w:rFonts w:ascii="Times New Roman" w:cs="Times New Roman" w:eastAsia="Times New Roman" w:hAnsi="Times New Roman"/>
          <w:sz w:val="14"/>
          <w:szCs w:val="14"/>
          <w:color w:val="auto"/>
        </w:rPr>
        <w:t>United States federal income tax consequences and special considerations, if any, applicable to any such series will be described in an accompanying prospectus supplement.</w:t>
      </w:r>
    </w:p>
    <w:p>
      <w:pPr>
        <w:spacing w:after="0" w:line="124" w:lineRule="exact"/>
        <w:rPr>
          <w:sz w:val="20"/>
          <w:szCs w:val="20"/>
          <w:color w:val="auto"/>
        </w:rPr>
      </w:pPr>
    </w:p>
    <w:p>
      <w:pPr>
        <w:ind w:left="160" w:right="279" w:firstLine="347"/>
        <w:spacing w:after="0" w:line="265" w:lineRule="auto"/>
        <w:rPr>
          <w:sz w:val="20"/>
          <w:szCs w:val="20"/>
          <w:color w:val="auto"/>
        </w:rPr>
      </w:pPr>
      <w:r>
        <w:rPr>
          <w:rFonts w:ascii="Times New Roman" w:cs="Times New Roman" w:eastAsia="Times New Roman" w:hAnsi="Times New Roman"/>
          <w:sz w:val="14"/>
          <w:szCs w:val="14"/>
          <w:color w:val="auto"/>
        </w:rPr>
        <w:t>We expect most debt securities to be issued in fully registered form without coupons and in denominations of $2,000 and any integral multiple of $1,000 in excess thereof. Subject to the limitations provided in the indenture and in an accompanying prospectus supplement, debt securities that are issued in registered form may be transferred or exchanged at the designated corporate trust office of the trustee, without the payment of any service charge, other than any tax or other governmental charge payable in connection therewith.</w:t>
      </w:r>
    </w:p>
    <w:p>
      <w:pPr>
        <w:spacing w:after="0" w:line="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13</w:t>
      </w:r>
    </w:p>
    <w:p>
      <w:pPr>
        <w:sectPr>
          <w:pgSz w:w="11900" w:h="16838" w:orient="portrait"/>
          <w:cols w:equalWidth="0" w:num="1">
            <w:col w:w="9019"/>
          </w:cols>
          <w:pgMar w:left="1440" w:top="242" w:right="1440" w:bottom="1440" w:gutter="0" w:footer="0" w:header="0"/>
        </w:sectPr>
      </w:pPr>
    </w:p>
    <w:bookmarkStart w:id="16" w:name="page17"/>
    <w:bookmarkEnd w:id="16"/>
    <w:p>
      <w:pPr>
        <w:ind w:left="160"/>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9">
                      <a:extLst>
                        <a:ext uri="{28A0092B-C50C-407E-A947-70E740481C1C}"/>
                      </a:extLst>
                    </a:blip>
                    <a:srcRect/>
                    <a:stretch>
                      <a:fillRect/>
                    </a:stretch>
                  </pic:blipFill>
                  <pic:spPr bwMode="auto">
                    <a:xfrm>
                      <a:off x="0" y="0"/>
                      <a:ext cx="7200265" cy="33020"/>
                    </a:xfrm>
                    <a:prstGeom prst="rect">
                      <a:avLst/>
                    </a:prstGeom>
                    <a:noFill/>
                  </pic:spPr>
                </pic:pic>
              </a:graphicData>
            </a:graphic>
          </wp:anchor>
        </w:drawing>
        <w:t>Guarantees</w:t>
      </w:r>
    </w:p>
    <w:p>
      <w:pPr>
        <w:spacing w:after="0" w:line="96" w:lineRule="exact"/>
        <w:rPr>
          <w:sz w:val="20"/>
          <w:szCs w:val="20"/>
          <w:color w:val="auto"/>
        </w:rPr>
      </w:pPr>
    </w:p>
    <w:p>
      <w:pPr>
        <w:ind w:left="160" w:right="479" w:firstLine="347"/>
        <w:spacing w:after="0" w:line="271" w:lineRule="auto"/>
        <w:rPr>
          <w:sz w:val="20"/>
          <w:szCs w:val="20"/>
          <w:color w:val="auto"/>
        </w:rPr>
      </w:pPr>
      <w:r>
        <w:rPr>
          <w:rFonts w:ascii="Times New Roman" w:cs="Times New Roman" w:eastAsia="Times New Roman" w:hAnsi="Times New Roman"/>
          <w:sz w:val="14"/>
          <w:szCs w:val="14"/>
          <w:color w:val="auto"/>
        </w:rPr>
        <w:t>Any debt securities may be guaranteed by one or more of our direct or indirect subsidiaries. Each prospectus supplement will describe any guarantees for the benefit of the series of debt securities to which it relates, including required financial information of the subsidiary guarantors, as applicable.</w:t>
      </w:r>
    </w:p>
    <w:p>
      <w:pPr>
        <w:spacing w:after="0" w:line="21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4"/>
          <w:szCs w:val="14"/>
          <w:b w:val="1"/>
          <w:bCs w:val="1"/>
          <w:color w:val="auto"/>
        </w:rPr>
        <w:t>Global Securities</w:t>
      </w:r>
    </w:p>
    <w:p>
      <w:pPr>
        <w:spacing w:after="0" w:line="96" w:lineRule="exact"/>
        <w:rPr>
          <w:sz w:val="20"/>
          <w:szCs w:val="20"/>
          <w:color w:val="auto"/>
        </w:rPr>
      </w:pPr>
    </w:p>
    <w:p>
      <w:pPr>
        <w:ind w:left="160" w:right="179" w:firstLine="347"/>
        <w:spacing w:after="0" w:line="262" w:lineRule="auto"/>
        <w:rPr>
          <w:sz w:val="20"/>
          <w:szCs w:val="20"/>
          <w:color w:val="auto"/>
        </w:rPr>
      </w:pPr>
      <w:r>
        <w:rPr>
          <w:rFonts w:ascii="Times New Roman" w:cs="Times New Roman" w:eastAsia="Times New Roman" w:hAnsi="Times New Roman"/>
          <w:sz w:val="14"/>
          <w:szCs w:val="14"/>
          <w:color w:val="auto"/>
        </w:rPr>
        <w:t>Unless we inform you otherwise in an accompanying prospectus supplement, the debt securities of a series may be issued in whole or in part in the form of one or more global securities that will be deposited with, or on behalf of, a depositary identified in an accompanying prospectus supplement. Unless and until a global security is exchanged in whole or in part for the individual debt securities, a global security may not be transferred except as a whole by the depositary for such global security to a nominee of such depositary or by a nominee of such depositary to such depositary or another nominee of such depositary or by such depositary or any such nominee to a successor of such depositary or a nominee of such successor.</w:t>
      </w:r>
    </w:p>
    <w:p>
      <w:pPr>
        <w:spacing w:after="0" w:line="226"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4"/>
          <w:szCs w:val="14"/>
          <w:b w:val="1"/>
          <w:bCs w:val="1"/>
          <w:color w:val="auto"/>
        </w:rPr>
        <w:t>Governing Law</w:t>
      </w:r>
    </w:p>
    <w:p>
      <w:pPr>
        <w:spacing w:after="0" w:line="9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The indenture, the debt securities and the guarantees shall be construed in accordance with and governed by the laws of the State of New York.</w:t>
      </w:r>
    </w:p>
    <w:p>
      <w:pPr>
        <w:spacing w:after="0" w:line="1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14</w:t>
      </w:r>
    </w:p>
    <w:p>
      <w:pPr>
        <w:sectPr>
          <w:pgSz w:w="11900" w:h="16838" w:orient="portrait"/>
          <w:cols w:equalWidth="0" w:num="1">
            <w:col w:w="9019"/>
          </w:cols>
          <w:pgMar w:left="1440" w:top="240" w:right="1440" w:bottom="1440" w:gutter="0" w:footer="0" w:header="0"/>
        </w:sectPr>
      </w:pPr>
    </w:p>
    <w:bookmarkStart w:id="17" w:name="page18"/>
    <w:bookmarkEnd w:id="17"/>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0">
                      <a:extLst>
                        <a:ext uri="{28A0092B-C50C-407E-A947-70E740481C1C}"/>
                      </a:extLst>
                    </a:blip>
                    <a:srcRect/>
                    <a:stretch>
                      <a:fillRect/>
                    </a:stretch>
                  </pic:blipFill>
                  <pic:spPr bwMode="auto">
                    <a:xfrm>
                      <a:off x="0" y="0"/>
                      <a:ext cx="7200265" cy="33020"/>
                    </a:xfrm>
                    <a:prstGeom prst="rect">
                      <a:avLst/>
                    </a:prstGeom>
                    <a:noFill/>
                  </pic:spPr>
                </pic:pic>
              </a:graphicData>
            </a:graphic>
          </wp:anchor>
        </w:drawing>
        <w:t>LEGAL MATTERS</w:t>
      </w:r>
    </w:p>
    <w:p>
      <w:pPr>
        <w:spacing w:after="0" w:line="181" w:lineRule="exact"/>
        <w:rPr>
          <w:sz w:val="20"/>
          <w:szCs w:val="20"/>
          <w:color w:val="auto"/>
        </w:rPr>
      </w:pPr>
    </w:p>
    <w:p>
      <w:pPr>
        <w:ind w:left="160" w:right="179" w:firstLine="347"/>
        <w:spacing w:after="0" w:line="271" w:lineRule="auto"/>
        <w:rPr>
          <w:sz w:val="20"/>
          <w:szCs w:val="20"/>
          <w:color w:val="auto"/>
        </w:rPr>
      </w:pPr>
      <w:r>
        <w:rPr>
          <w:rFonts w:ascii="Times New Roman" w:cs="Times New Roman" w:eastAsia="Times New Roman" w:hAnsi="Times New Roman"/>
          <w:sz w:val="14"/>
          <w:szCs w:val="14"/>
          <w:color w:val="auto"/>
        </w:rPr>
        <w:t>Unless otherwise indicated in any accompanying prospectus supplement, Skadden, Arps, Slate, Meagher &amp; Flom LLP and Roger Saldaña Madero, General Counsel of Cemex, S.A.B. de C.V., will provide opinions regarding the authorization and validity of the securities. Any underwriters will be advised about legal matters by their own counsel, which will be named in an accompanying prospectus supplement.</w:t>
      </w:r>
    </w:p>
    <w:p>
      <w:pPr>
        <w:spacing w:after="0" w:line="3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EXPERTS</w:t>
      </w:r>
    </w:p>
    <w:p>
      <w:pPr>
        <w:spacing w:after="0" w:line="181" w:lineRule="exact"/>
        <w:rPr>
          <w:sz w:val="20"/>
          <w:szCs w:val="20"/>
          <w:color w:val="auto"/>
        </w:rPr>
      </w:pPr>
    </w:p>
    <w:p>
      <w:pPr>
        <w:ind w:left="160" w:right="299" w:firstLine="347"/>
        <w:spacing w:after="0" w:line="265" w:lineRule="auto"/>
        <w:rPr>
          <w:sz w:val="20"/>
          <w:szCs w:val="20"/>
          <w:color w:val="auto"/>
        </w:rPr>
      </w:pPr>
      <w:r>
        <w:rPr>
          <w:rFonts w:ascii="Times New Roman" w:cs="Times New Roman" w:eastAsia="Times New Roman" w:hAnsi="Times New Roman"/>
          <w:sz w:val="14"/>
          <w:szCs w:val="14"/>
          <w:color w:val="auto"/>
        </w:rPr>
        <w:t>The consolidated financial statements of Cemex, S.A.B. de C.V. and subsidiaries as of December 31, 2025 and 2024, and for each of the years in the three-year period ended December 31, 2025, and management’s assessment of the effectiveness of internal control over financial reporting as of December 31, 2025 have been incorporated by reference herein in reliance upon the reports of KPMG Cárdenas Dosal, S.C., independent registered public accounting firm, incorporated by reference herein, and upon the authority of said firm as experts in accounting and auditing.</w:t>
      </w:r>
    </w:p>
    <w:p>
      <w:pPr>
        <w:spacing w:after="0" w:line="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15</w:t>
      </w:r>
    </w:p>
    <w:p>
      <w:pPr>
        <w:sectPr>
          <w:pgSz w:w="11900" w:h="16838" w:orient="portrait"/>
          <w:cols w:equalWidth="0" w:num="1">
            <w:col w:w="9019"/>
          </w:cols>
          <w:pgMar w:left="1440" w:top="240" w:right="1440" w:bottom="1440" w:gutter="0" w:footer="0" w:header="0"/>
        </w:sectPr>
      </w:pPr>
    </w:p>
    <w:bookmarkStart w:id="18" w:name="page19"/>
    <w:bookmarkEnd w:id="18"/>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1">
                      <a:extLst>
                        <a:ext uri="{28A0092B-C50C-407E-A947-70E740481C1C}"/>
                      </a:extLst>
                    </a:blip>
                    <a:srcRect/>
                    <a:stretch>
                      <a:fillRect/>
                    </a:stretch>
                  </pic:blipFill>
                  <pic:spPr bwMode="auto">
                    <a:xfrm>
                      <a:off x="0" y="0"/>
                      <a:ext cx="7200265" cy="33020"/>
                    </a:xfrm>
                    <a:prstGeom prst="rect">
                      <a:avLst/>
                    </a:prstGeom>
                    <a:noFill/>
                  </pic:spPr>
                </pic:pic>
              </a:graphicData>
            </a:graphic>
          </wp:anchor>
        </w:drawing>
        <w:t>ENFORCEABILITY OF CIVIL LIABILITIES</w:t>
      </w:r>
    </w:p>
    <w:p>
      <w:pPr>
        <w:spacing w:after="0" w:line="179" w:lineRule="exact"/>
        <w:rPr>
          <w:sz w:val="20"/>
          <w:szCs w:val="20"/>
          <w:color w:val="auto"/>
        </w:rPr>
      </w:pPr>
    </w:p>
    <w:p>
      <w:pPr>
        <w:ind w:left="160" w:right="179" w:firstLine="347"/>
        <w:spacing w:after="0" w:line="261" w:lineRule="auto"/>
        <w:rPr>
          <w:sz w:val="20"/>
          <w:szCs w:val="20"/>
          <w:color w:val="auto"/>
        </w:rPr>
      </w:pPr>
      <w:r>
        <w:rPr>
          <w:rFonts w:ascii="Times New Roman" w:cs="Times New Roman" w:eastAsia="Times New Roman" w:hAnsi="Times New Roman"/>
          <w:sz w:val="14"/>
          <w:szCs w:val="14"/>
          <w:color w:val="auto"/>
        </w:rPr>
        <w:t>Cemex, S.A.B. de C.V. is a publicly traded variable stock corporation (</w:t>
      </w:r>
      <w:r>
        <w:rPr>
          <w:rFonts w:ascii="Times New Roman" w:cs="Times New Roman" w:eastAsia="Times New Roman" w:hAnsi="Times New Roman"/>
          <w:sz w:val="14"/>
          <w:szCs w:val="14"/>
          <w:i w:val="1"/>
          <w:iCs w:val="1"/>
          <w:color w:val="auto"/>
        </w:rPr>
        <w:t>sociedad anónima bursátil de capital variable</w:t>
      </w:r>
      <w:r>
        <w:rPr>
          <w:rFonts w:ascii="Times New Roman" w:cs="Times New Roman" w:eastAsia="Times New Roman" w:hAnsi="Times New Roman"/>
          <w:sz w:val="14"/>
          <w:szCs w:val="14"/>
          <w:color w:val="auto"/>
        </w:rPr>
        <w:t>) organized under the laws of Mexico. Most of the members of its Board of Directors and its senior management reside in Mexico, and all or a significant portion of the assets of those persons may be, and a substantial part of Cemex’s assets are, located outside the United States. As a result, it may not be possible for you to effect service of process within the United States upon such persons or to enforce against them or against Cemex, S.A.B. de C.V. in the U.S. courts judgments predicated upon the civil liability provisions of the federal securities laws of the United States. There is doubt as to the enforceability in Mexico, either in original actions or in actions for enforcement of judgments of U.S. courts, of civil liabilities predicated on the U.S. federal securities laws.</w:t>
      </w:r>
    </w:p>
    <w:p>
      <w:pPr>
        <w:spacing w:after="0" w:line="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16</w:t>
      </w:r>
    </w:p>
    <w:p>
      <w:pPr>
        <w:sectPr>
          <w:pgSz w:w="11900" w:h="16838" w:orient="portrait"/>
          <w:cols w:equalWidth="0" w:num="1">
            <w:col w:w="9019"/>
          </w:cols>
          <w:pgMar w:left="1440" w:top="240" w:right="1440" w:bottom="1440" w:gutter="0" w:footer="0" w:header="0"/>
        </w:sectPr>
      </w:pPr>
    </w:p>
    <w:bookmarkStart w:id="19" w:name="page20"/>
    <w:bookmarkEnd w:id="19"/>
    <w:p>
      <w:pPr>
        <w:jc w:val="center"/>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2">
                      <a:extLst>
                        <a:ext uri="{28A0092B-C50C-407E-A947-70E740481C1C}"/>
                      </a:extLst>
                    </a:blip>
                    <a:srcRect/>
                    <a:stretch>
                      <a:fillRect/>
                    </a:stretch>
                  </pic:blipFill>
                  <pic:spPr bwMode="auto">
                    <a:xfrm>
                      <a:off x="0" y="0"/>
                      <a:ext cx="7200265" cy="33020"/>
                    </a:xfrm>
                    <a:prstGeom prst="rect">
                      <a:avLst/>
                    </a:prstGeom>
                    <a:noFill/>
                  </pic:spPr>
                </pic:pic>
              </a:graphicData>
            </a:graphic>
          </wp:anchor>
        </w:drawing>
        <w:t>PART II</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INFORMATION NOT REQUIRED IN PROSPECTUS</w:t>
      </w:r>
    </w:p>
    <w:p>
      <w:pPr>
        <w:spacing w:after="0" w:line="17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4"/>
          <w:szCs w:val="14"/>
          <w:b w:val="1"/>
          <w:bCs w:val="1"/>
          <w:color w:val="auto"/>
        </w:rPr>
        <w:t>Item 8. Indemnification of Directors and Officers.</w:t>
      </w:r>
    </w:p>
    <w:p>
      <w:pPr>
        <w:spacing w:after="0" w:line="96" w:lineRule="exact"/>
        <w:rPr>
          <w:sz w:val="20"/>
          <w:szCs w:val="20"/>
          <w:color w:val="auto"/>
        </w:rPr>
      </w:pPr>
    </w:p>
    <w:p>
      <w:pPr>
        <w:ind w:left="160" w:right="239" w:firstLine="347"/>
        <w:spacing w:after="0" w:line="265" w:lineRule="auto"/>
        <w:rPr>
          <w:sz w:val="20"/>
          <w:szCs w:val="20"/>
          <w:color w:val="auto"/>
        </w:rPr>
      </w:pPr>
      <w:r>
        <w:rPr>
          <w:rFonts w:ascii="Times New Roman" w:cs="Times New Roman" w:eastAsia="Times New Roman" w:hAnsi="Times New Roman"/>
          <w:sz w:val="14"/>
          <w:szCs w:val="14"/>
          <w:color w:val="auto"/>
        </w:rPr>
        <w:t>Mexican law and the Amended and Restated By-laws of Cemex, S.A.B. de C.V. allow the corporation to indemnify or purchase insurance coverage for its directors and officers to cover any liability they might incur in their capacity as such (subject to certain exceptions). The directors and officers of Cemex, S.A.B. de C.V. and its subsidiaries are insured (subject to certain exceptions and deductions) against any liability they might incur in their capacity as such, including under the Securities Act, under liability insurance policies maintained by Cemex, S.A.B. de C.V.</w:t>
      </w:r>
    </w:p>
    <w:p>
      <w:pPr>
        <w:spacing w:after="0" w:line="22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4"/>
          <w:szCs w:val="14"/>
          <w:b w:val="1"/>
          <w:bCs w:val="1"/>
          <w:color w:val="auto"/>
        </w:rPr>
        <w:t>Item 9. List of Exhibits.</w:t>
      </w:r>
    </w:p>
    <w:p>
      <w:pPr>
        <w:spacing w:after="0" w:line="9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Reference is made to the Exhibit Index included herewith which is incorporated herein by reference.</w:t>
      </w:r>
    </w:p>
    <w:p>
      <w:pPr>
        <w:spacing w:after="0" w:line="26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4"/>
          <w:szCs w:val="14"/>
          <w:b w:val="1"/>
          <w:bCs w:val="1"/>
          <w:color w:val="auto"/>
        </w:rPr>
        <w:t>Item 10. Undertakings.</w:t>
      </w:r>
    </w:p>
    <w:p>
      <w:pPr>
        <w:spacing w:after="0" w:line="9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Each of the undersigned registrant hereby undertakes:</w:t>
      </w:r>
    </w:p>
    <w:p>
      <w:pPr>
        <w:spacing w:after="0" w:line="105" w:lineRule="exact"/>
        <w:rPr>
          <w:sz w:val="20"/>
          <w:szCs w:val="20"/>
          <w:color w:val="auto"/>
        </w:rPr>
      </w:pPr>
    </w:p>
    <w:p>
      <w:pPr>
        <w:ind w:left="920" w:hanging="416"/>
        <w:spacing w:after="0"/>
        <w:tabs>
          <w:tab w:leader="none" w:pos="92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file, during any period in which offers or sales are being made, a post-effective amendment to this registration statement:</w:t>
      </w:r>
    </w:p>
    <w:p>
      <w:pPr>
        <w:spacing w:after="0" w:line="105" w:lineRule="exact"/>
        <w:rPr>
          <w:rFonts w:ascii="Times New Roman" w:cs="Times New Roman" w:eastAsia="Times New Roman" w:hAnsi="Times New Roman"/>
          <w:sz w:val="14"/>
          <w:szCs w:val="14"/>
          <w:color w:val="auto"/>
        </w:rPr>
      </w:pPr>
    </w:p>
    <w:p>
      <w:pPr>
        <w:ind w:left="1280" w:hanging="340"/>
        <w:spacing w:after="0"/>
        <w:tabs>
          <w:tab w:leader="none" w:pos="1280" w:val="left"/>
        </w:tabs>
        <w:numPr>
          <w:ilvl w:val="1"/>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include any prospectus required by Section 10(a)(3) of the Securities Act of 1933;</w:t>
      </w:r>
    </w:p>
    <w:p>
      <w:pPr>
        <w:spacing w:after="0" w:line="105" w:lineRule="exact"/>
        <w:rPr>
          <w:rFonts w:ascii="Times New Roman" w:cs="Times New Roman" w:eastAsia="Times New Roman" w:hAnsi="Times New Roman"/>
          <w:sz w:val="14"/>
          <w:szCs w:val="14"/>
          <w:color w:val="auto"/>
        </w:rPr>
      </w:pPr>
    </w:p>
    <w:p>
      <w:pPr>
        <w:ind w:left="1280" w:right="239" w:hanging="340"/>
        <w:spacing w:after="0" w:line="259" w:lineRule="auto"/>
        <w:tabs>
          <w:tab w:leader="none" w:pos="1280" w:val="left"/>
        </w:tabs>
        <w:numPr>
          <w:ilvl w:val="1"/>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 pursuant to Rule 424(b) if, in the aggregate, the changes in volume and price represent no more than 20 percent change in the maximum aggregate offering price set forth in the “Calculation of Registration Fee” table in the effective registration statement;</w:t>
      </w:r>
    </w:p>
    <w:p>
      <w:pPr>
        <w:spacing w:after="0" w:line="71" w:lineRule="exact"/>
        <w:rPr>
          <w:rFonts w:ascii="Times New Roman" w:cs="Times New Roman" w:eastAsia="Times New Roman" w:hAnsi="Times New Roman"/>
          <w:sz w:val="14"/>
          <w:szCs w:val="14"/>
          <w:color w:val="auto"/>
        </w:rPr>
      </w:pPr>
    </w:p>
    <w:p>
      <w:pPr>
        <w:ind w:left="1280" w:right="319" w:hanging="340"/>
        <w:spacing w:after="0" w:line="288" w:lineRule="auto"/>
        <w:tabs>
          <w:tab w:leader="none" w:pos="1280" w:val="left"/>
        </w:tabs>
        <w:numPr>
          <w:ilvl w:val="1"/>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include any material information with respect to the plan of distribution not previously disclosed in the registration statement or any material change to such information in the registration statement;</w:t>
      </w:r>
    </w:p>
    <w:p>
      <w:pPr>
        <w:spacing w:after="0" w:line="124" w:lineRule="exact"/>
        <w:rPr>
          <w:sz w:val="20"/>
          <w:szCs w:val="20"/>
          <w:color w:val="auto"/>
        </w:rPr>
      </w:pPr>
    </w:p>
    <w:p>
      <w:pPr>
        <w:ind w:left="160" w:right="239"/>
        <w:spacing w:after="0" w:line="265" w:lineRule="auto"/>
        <w:rPr>
          <w:sz w:val="20"/>
          <w:szCs w:val="20"/>
          <w:color w:val="auto"/>
        </w:rPr>
      </w:pPr>
      <w:r>
        <w:rPr>
          <w:rFonts w:ascii="Times New Roman" w:cs="Times New Roman" w:eastAsia="Times New Roman" w:hAnsi="Times New Roman"/>
          <w:sz w:val="14"/>
          <w:szCs w:val="14"/>
          <w:color w:val="auto"/>
        </w:rPr>
        <w:t>provided, however, that paragraphs (i), (ii) and (iii) of this section do not apply if the information required to be included in a post-effective amendment by those paragraphs is contained in reports filed with or furnished to the SEC by the registrant pursuant to Section 13 or Section 15(d) of the Securities Exchange Act of 1934 that are incorporated by reference in this registration statement, or is contained in a form of prospectus filed pursuant to Rule 424(b) that is part of this registration statement;</w:t>
      </w:r>
    </w:p>
    <w:p>
      <w:pPr>
        <w:spacing w:after="0" w:line="66" w:lineRule="exact"/>
        <w:rPr>
          <w:sz w:val="20"/>
          <w:szCs w:val="20"/>
          <w:color w:val="auto"/>
        </w:rPr>
      </w:pPr>
    </w:p>
    <w:p>
      <w:pPr>
        <w:ind w:left="920" w:right="199" w:hanging="416"/>
        <w:spacing w:after="0" w:line="271" w:lineRule="auto"/>
        <w:tabs>
          <w:tab w:leader="none" w:pos="92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w:t>
      </w:r>
    </w:p>
    <w:p>
      <w:pPr>
        <w:spacing w:after="0" w:line="61" w:lineRule="exact"/>
        <w:rPr>
          <w:rFonts w:ascii="Times New Roman" w:cs="Times New Roman" w:eastAsia="Times New Roman" w:hAnsi="Times New Roman"/>
          <w:sz w:val="14"/>
          <w:szCs w:val="14"/>
          <w:color w:val="auto"/>
        </w:rPr>
      </w:pPr>
    </w:p>
    <w:p>
      <w:pPr>
        <w:ind w:left="920" w:right="459" w:hanging="416"/>
        <w:spacing w:after="0" w:line="288" w:lineRule="auto"/>
        <w:tabs>
          <w:tab w:leader="none" w:pos="92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remove from registration by means of a post-effective amendment any of the securities being registered which remain unsold at the termination of the offering.</w:t>
      </w:r>
    </w:p>
    <w:p>
      <w:pPr>
        <w:spacing w:after="0" w:line="49" w:lineRule="exact"/>
        <w:rPr>
          <w:rFonts w:ascii="Times New Roman" w:cs="Times New Roman" w:eastAsia="Times New Roman" w:hAnsi="Times New Roman"/>
          <w:sz w:val="14"/>
          <w:szCs w:val="14"/>
          <w:color w:val="auto"/>
        </w:rPr>
      </w:pPr>
    </w:p>
    <w:p>
      <w:pPr>
        <w:ind w:left="920" w:right="299" w:hanging="416"/>
        <w:spacing w:after="0" w:line="271" w:lineRule="auto"/>
        <w:tabs>
          <w:tab w:leader="none" w:pos="92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file a post-effective amendment to the registration statement to include any financial statements required by Item 8.A of Form 20–F at the start of any delayed offering or throughout a continuous offering. Financial statements and information otherwise required by Section 10(a)(3) of the Act need not be furnished, provided that the registrant includes in the prospectus, by means of a post-effective</w:t>
      </w:r>
    </w:p>
    <w:p>
      <w:pPr>
        <w:spacing w:after="0" w:line="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II-1</w:t>
      </w:r>
    </w:p>
    <w:p>
      <w:pPr>
        <w:sectPr>
          <w:pgSz w:w="11900" w:h="16838" w:orient="portrait"/>
          <w:cols w:equalWidth="0" w:num="1">
            <w:col w:w="9019"/>
          </w:cols>
          <w:pgMar w:left="1440" w:top="240" w:right="1440" w:bottom="1440" w:gutter="0" w:footer="0" w:header="0"/>
        </w:sectPr>
      </w:pPr>
    </w:p>
    <w:bookmarkStart w:id="20" w:name="page21"/>
    <w:bookmarkEnd w:id="20"/>
    <w:p>
      <w:pPr>
        <w:ind w:left="940" w:right="219"/>
        <w:spacing w:after="0" w:line="261"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3">
                      <a:extLst>
                        <a:ext uri="{28A0092B-C50C-407E-A947-70E740481C1C}"/>
                      </a:extLst>
                    </a:blip>
                    <a:srcRect/>
                    <a:stretch>
                      <a:fillRect/>
                    </a:stretch>
                  </pic:blipFill>
                  <pic:spPr bwMode="auto">
                    <a:xfrm>
                      <a:off x="0" y="0"/>
                      <a:ext cx="7200265" cy="33020"/>
                    </a:xfrm>
                    <a:prstGeom prst="rect">
                      <a:avLst/>
                    </a:prstGeom>
                    <a:noFill/>
                  </pic:spPr>
                </pic:pic>
              </a:graphicData>
            </a:graphic>
          </wp:anchor>
        </w:drawing>
        <w:t>amendment, financial statements required pursuant to this paragraph (4) and other information necessary to ensure that all other information in the prospectus is at least as current as the date of those financial statements. Notwithstanding the foregoing, a post-effective amendment need not be filed to include financial statements and information required by Section 10(a)(3) of the Act or Item 8.A of Form 20–F if such financial statements and information are contained in periodic reports filed with or furnished to the Commission by the registrant pursuant to section 13 or section 15(d) of the Securities Exchange Act of 1934 that are incorporated by reference in this registration statement.</w:t>
      </w:r>
    </w:p>
    <w:p>
      <w:pPr>
        <w:spacing w:after="0" w:line="242" w:lineRule="exact"/>
        <w:rPr>
          <w:sz w:val="20"/>
          <w:szCs w:val="20"/>
          <w:color w:val="auto"/>
        </w:rPr>
      </w:pPr>
    </w:p>
    <w:p>
      <w:pPr>
        <w:ind w:left="920" w:hanging="416"/>
        <w:spacing w:after="0"/>
        <w:tabs>
          <w:tab w:leader="none" w:pos="92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That, for the purpose of determining liability under the Securities Act of 1933 to any purchaser:</w:t>
      </w:r>
    </w:p>
    <w:p>
      <w:pPr>
        <w:spacing w:after="0" w:line="105" w:lineRule="exact"/>
        <w:rPr>
          <w:rFonts w:ascii="Times New Roman" w:cs="Times New Roman" w:eastAsia="Times New Roman" w:hAnsi="Times New Roman"/>
          <w:sz w:val="14"/>
          <w:szCs w:val="14"/>
          <w:color w:val="auto"/>
        </w:rPr>
      </w:pPr>
    </w:p>
    <w:p>
      <w:pPr>
        <w:ind w:left="1280" w:right="319" w:hanging="340"/>
        <w:spacing w:after="0" w:line="288" w:lineRule="auto"/>
        <w:tabs>
          <w:tab w:leader="none" w:pos="1280" w:val="left"/>
        </w:tabs>
        <w:numPr>
          <w:ilvl w:val="1"/>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prospectus filed by the registrant pursuant to Rule 424(b)(3) shall be deemed to be part of this registration statement as of the date the filed prospectus was deemed part of and included in this registration statement; and</w:t>
      </w:r>
    </w:p>
    <w:p>
      <w:pPr>
        <w:spacing w:after="0" w:line="49" w:lineRule="exact"/>
        <w:rPr>
          <w:rFonts w:ascii="Times New Roman" w:cs="Times New Roman" w:eastAsia="Times New Roman" w:hAnsi="Times New Roman"/>
          <w:sz w:val="14"/>
          <w:szCs w:val="14"/>
          <w:color w:val="auto"/>
        </w:rPr>
      </w:pPr>
    </w:p>
    <w:p>
      <w:pPr>
        <w:ind w:left="1280" w:right="179" w:hanging="340"/>
        <w:spacing w:after="0" w:line="256" w:lineRule="auto"/>
        <w:tabs>
          <w:tab w:leader="none" w:pos="1280" w:val="left"/>
        </w:tabs>
        <w:numPr>
          <w:ilvl w:val="1"/>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of 1933 shall be deemed to be part of and included in this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bona fide offering thereof. Provided, however, that no statement made in a registration statement or prospectus that is part of this registration statement or made in a document incorporated or deemed incorporated by reference into this registration statement or prospectus that is part of this registration statement will, as to a purchaser with a time of contract of sale prior to such effective date, supersede or modify any statement that was made in this registration statement or prospectus that was part of this registration statement or made in any such document immediately prior to such effective date.</w:t>
      </w:r>
    </w:p>
    <w:p>
      <w:pPr>
        <w:spacing w:after="0" w:line="77" w:lineRule="exact"/>
        <w:rPr>
          <w:rFonts w:ascii="Times New Roman" w:cs="Times New Roman" w:eastAsia="Times New Roman" w:hAnsi="Times New Roman"/>
          <w:sz w:val="14"/>
          <w:szCs w:val="14"/>
          <w:color w:val="auto"/>
        </w:rPr>
      </w:pPr>
    </w:p>
    <w:p>
      <w:pPr>
        <w:ind w:left="920" w:right="199" w:hanging="416"/>
        <w:spacing w:after="0" w:line="262" w:lineRule="auto"/>
        <w:tabs>
          <w:tab w:leader="none" w:pos="92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That, for the purpose of determining liability of the registrant under the Securities Act of 1933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68" w:lineRule="exact"/>
        <w:rPr>
          <w:rFonts w:ascii="Times New Roman" w:cs="Times New Roman" w:eastAsia="Times New Roman" w:hAnsi="Times New Roman"/>
          <w:sz w:val="14"/>
          <w:szCs w:val="14"/>
          <w:color w:val="auto"/>
        </w:rPr>
      </w:pPr>
    </w:p>
    <w:p>
      <w:pPr>
        <w:ind w:left="1280" w:right="299" w:hanging="340"/>
        <w:spacing w:after="0" w:line="288" w:lineRule="auto"/>
        <w:tabs>
          <w:tab w:leader="none" w:pos="1280" w:val="left"/>
        </w:tabs>
        <w:numPr>
          <w:ilvl w:val="1"/>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preliminary prospectus or prospectus of the undersigned registrant relating to the offering required to be filed pursuant to Rule 424;</w:t>
      </w:r>
    </w:p>
    <w:p>
      <w:pPr>
        <w:spacing w:after="0" w:line="49" w:lineRule="exact"/>
        <w:rPr>
          <w:rFonts w:ascii="Times New Roman" w:cs="Times New Roman" w:eastAsia="Times New Roman" w:hAnsi="Times New Roman"/>
          <w:sz w:val="14"/>
          <w:szCs w:val="14"/>
          <w:color w:val="auto"/>
        </w:rPr>
      </w:pPr>
    </w:p>
    <w:p>
      <w:pPr>
        <w:ind w:left="1280" w:right="339" w:hanging="340"/>
        <w:spacing w:after="0" w:line="288" w:lineRule="auto"/>
        <w:tabs>
          <w:tab w:leader="none" w:pos="1280" w:val="left"/>
        </w:tabs>
        <w:numPr>
          <w:ilvl w:val="1"/>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free writing prospectus relating to the offering prepared by or on behalf of the undersigned registrant or used or referred to by the undersigned registrant;</w:t>
      </w:r>
    </w:p>
    <w:p>
      <w:pPr>
        <w:spacing w:after="0" w:line="49" w:lineRule="exact"/>
        <w:rPr>
          <w:rFonts w:ascii="Times New Roman" w:cs="Times New Roman" w:eastAsia="Times New Roman" w:hAnsi="Times New Roman"/>
          <w:sz w:val="14"/>
          <w:szCs w:val="14"/>
          <w:color w:val="auto"/>
        </w:rPr>
      </w:pPr>
    </w:p>
    <w:p>
      <w:pPr>
        <w:ind w:left="1280" w:right="579" w:hanging="340"/>
        <w:spacing w:after="0" w:line="288" w:lineRule="auto"/>
        <w:tabs>
          <w:tab w:leader="none" w:pos="1280" w:val="left"/>
        </w:tabs>
        <w:numPr>
          <w:ilvl w:val="1"/>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portion of any other free writing prospectus relating to the offering containing material information about the undersigned registrant or its securities provided by or on behalf of the undersigned registrant; and</w:t>
      </w:r>
    </w:p>
    <w:p>
      <w:pPr>
        <w:spacing w:after="0" w:line="49" w:lineRule="exact"/>
        <w:rPr>
          <w:rFonts w:ascii="Times New Roman" w:cs="Times New Roman" w:eastAsia="Times New Roman" w:hAnsi="Times New Roman"/>
          <w:sz w:val="14"/>
          <w:szCs w:val="14"/>
          <w:color w:val="auto"/>
        </w:rPr>
      </w:pPr>
    </w:p>
    <w:p>
      <w:pPr>
        <w:ind w:left="1280" w:hanging="340"/>
        <w:spacing w:after="0"/>
        <w:tabs>
          <w:tab w:leader="none" w:pos="1280" w:val="left"/>
        </w:tabs>
        <w:numPr>
          <w:ilvl w:val="1"/>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other communication that is an offer in the offering made by the undersigned registrant to the purchaser.</w:t>
      </w:r>
    </w:p>
    <w:p>
      <w:pPr>
        <w:spacing w:after="0" w:line="179" w:lineRule="exact"/>
        <w:rPr>
          <w:sz w:val="20"/>
          <w:szCs w:val="20"/>
          <w:color w:val="auto"/>
        </w:rPr>
      </w:pPr>
    </w:p>
    <w:p>
      <w:pPr>
        <w:ind w:left="160" w:right="179" w:firstLine="347"/>
        <w:spacing w:after="0" w:line="262" w:lineRule="auto"/>
        <w:rPr>
          <w:sz w:val="20"/>
          <w:szCs w:val="20"/>
          <w:color w:val="auto"/>
        </w:rPr>
      </w:pPr>
      <w:r>
        <w:rPr>
          <w:rFonts w:ascii="Times New Roman" w:cs="Times New Roman" w:eastAsia="Times New Roman" w:hAnsi="Times New Roman"/>
          <w:sz w:val="14"/>
          <w:szCs w:val="14"/>
          <w:color w:val="auto"/>
        </w:rPr>
        <w:t>Each of the undersigned registrant hereby undertakes that, for purposes of determining any liability under the Securities Act of 1933, each filing of the registrant’s annual report pursuant to Section 13(a) or Section 15(d) of the Securities Exchange Act of 1934 (and, where applicable, each filing of an employee benefit plan’s annual report pursuant to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II-2</w:t>
      </w:r>
    </w:p>
    <w:p>
      <w:pPr>
        <w:sectPr>
          <w:pgSz w:w="11900" w:h="16838" w:orient="portrait"/>
          <w:cols w:equalWidth="0" w:num="1">
            <w:col w:w="9019"/>
          </w:cols>
          <w:pgMar w:left="1440" w:top="242" w:right="1440" w:bottom="1440" w:gutter="0" w:footer="0" w:header="0"/>
        </w:sectPr>
      </w:pPr>
    </w:p>
    <w:bookmarkStart w:id="21" w:name="page22"/>
    <w:bookmarkEnd w:id="21"/>
    <w:p>
      <w:pPr>
        <w:ind w:left="160" w:right="239" w:firstLine="347"/>
        <w:spacing w:after="0" w:line="258"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4">
                      <a:extLst>
                        <a:ext uri="{28A0092B-C50C-407E-A947-70E740481C1C}"/>
                      </a:extLst>
                    </a:blip>
                    <a:srcRect/>
                    <a:stretch>
                      <a:fillRect/>
                    </a:stretch>
                  </pic:blipFill>
                  <pic:spPr bwMode="auto">
                    <a:xfrm>
                      <a:off x="0" y="0"/>
                      <a:ext cx="7200265" cy="33020"/>
                    </a:xfrm>
                    <a:prstGeom prst="rect">
                      <a:avLst/>
                    </a:prstGeom>
                    <a:noFill/>
                  </pic:spPr>
                </pic:pic>
              </a:graphicData>
            </a:graphic>
          </wp:anchor>
        </w:drawing>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 such indemnification is against public policy as expressed in the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Securitas Act of 1933 and will be governed by the final adjudication of such issue.</w:t>
      </w:r>
    </w:p>
    <w:p>
      <w:pPr>
        <w:spacing w:after="0" w:line="148" w:lineRule="exact"/>
        <w:rPr>
          <w:sz w:val="20"/>
          <w:szCs w:val="20"/>
          <w:color w:val="auto"/>
        </w:rPr>
      </w:pPr>
    </w:p>
    <w:p>
      <w:pPr>
        <w:ind w:left="160" w:right="239" w:firstLine="347"/>
        <w:spacing w:after="0" w:line="271" w:lineRule="auto"/>
        <w:rPr>
          <w:sz w:val="20"/>
          <w:szCs w:val="20"/>
          <w:color w:val="auto"/>
        </w:rPr>
      </w:pPr>
      <w:r>
        <w:rPr>
          <w:rFonts w:ascii="Times New Roman" w:cs="Times New Roman" w:eastAsia="Times New Roman" w:hAnsi="Times New Roman"/>
          <w:sz w:val="14"/>
          <w:szCs w:val="14"/>
          <w:color w:val="auto"/>
        </w:rPr>
        <w:t>Each of the undersigned registrant hereby undertakes to file an application for the purpose of determining the eligibility of the trustee to act under subsection (a) of Section 310 of the Trust Indenture Act of 1939 in accordance with the rules and regulations prescribed by the SEC under Section 305(b) (2) of the Trust Indenture Act of 1939.</w:t>
      </w:r>
    </w:p>
    <w:p>
      <w:pPr>
        <w:spacing w:after="0" w:line="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II-3</w:t>
      </w:r>
    </w:p>
    <w:p>
      <w:pPr>
        <w:sectPr>
          <w:pgSz w:w="11900" w:h="16838" w:orient="portrait"/>
          <w:cols w:equalWidth="0" w:num="1">
            <w:col w:w="9019"/>
          </w:cols>
          <w:pgMar w:left="1440" w:top="242" w:right="1440" w:bottom="1440" w:gutter="0" w:footer="0" w:header="0"/>
        </w:sectPr>
      </w:pPr>
    </w:p>
    <w:bookmarkStart w:id="22" w:name="page23"/>
    <w:bookmarkEnd w:id="22"/>
    <w:tbl>
      <w:tblPr>
        <w:tblLayout w:type="fixed"/>
        <w:tblInd w:w="160" w:type="dxa"/>
        <w:tblCellMar>
          <w:top w:w="0" w:type="dxa"/>
          <w:left w:w="0" w:type="dxa"/>
          <w:bottom w:w="0" w:type="dxa"/>
          <w:right w:w="0" w:type="dxa"/>
        </w:tblCellMar>
      </w:tblPr>
      <w:tr>
        <w:trPr>
          <w:trHeight w:val="186"/>
        </w:trPr>
        <w:tc>
          <w:tcPr>
            <w:tcW w:w="4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880" w:type="dxa"/>
            <w:vAlign w:val="bottom"/>
          </w:tcPr>
          <w:p>
            <w:pPr>
              <w:ind w:left="3120"/>
              <w:spacing w:after="0"/>
              <w:rPr>
                <w:sz w:val="20"/>
                <w:szCs w:val="20"/>
                <w:color w:val="auto"/>
              </w:rPr>
            </w:pPr>
            <w:r>
              <w:rPr>
                <w:rFonts w:ascii="Times New Roman" w:cs="Times New Roman" w:eastAsia="Times New Roman" w:hAnsi="Times New Roman"/>
                <w:sz w:val="14"/>
                <w:szCs w:val="14"/>
                <w:b w:val="1"/>
                <w:bCs w:val="1"/>
                <w:color w:val="auto"/>
              </w:rPr>
              <w:t>Exhibit Index</w:t>
            </w:r>
          </w:p>
        </w:tc>
        <w:tc>
          <w:tcPr>
            <w:tcW w:w="0" w:type="dxa"/>
            <w:vAlign w:val="bottom"/>
          </w:tcPr>
          <w:p>
            <w:pPr>
              <w:spacing w:after="0"/>
              <w:rPr>
                <w:sz w:val="1"/>
                <w:szCs w:val="1"/>
                <w:color w:val="auto"/>
              </w:rPr>
            </w:pPr>
          </w:p>
        </w:tc>
      </w:tr>
      <w:tr>
        <w:trPr>
          <w:trHeight w:val="290"/>
        </w:trPr>
        <w:tc>
          <w:tcPr>
            <w:tcW w:w="800" w:type="dxa"/>
            <w:vAlign w:val="bottom"/>
            <w:gridSpan w:val="2"/>
          </w:tcPr>
          <w:p>
            <w:pPr>
              <w:jc w:val="center"/>
              <w:ind w:right="360"/>
              <w:spacing w:after="0"/>
              <w:rPr>
                <w:sz w:val="20"/>
                <w:szCs w:val="20"/>
                <w:color w:val="auto"/>
              </w:rPr>
            </w:pPr>
            <w:r>
              <w:rPr>
                <w:rFonts w:ascii="Times New Roman" w:cs="Times New Roman" w:eastAsia="Times New Roman" w:hAnsi="Times New Roman"/>
                <w:sz w:val="11"/>
                <w:szCs w:val="11"/>
                <w:b w:val="1"/>
                <w:bCs w:val="1"/>
                <w:color w:val="auto"/>
              </w:rPr>
              <w:t>Exhibit</w:t>
            </w:r>
          </w:p>
        </w:tc>
        <w:tc>
          <w:tcPr>
            <w:tcW w:w="7880" w:type="dxa"/>
            <w:vAlign w:val="bottom"/>
            <w:vMerge w:val="restart"/>
          </w:tcPr>
          <w:p>
            <w:pPr>
              <w:ind w:left="3380"/>
              <w:spacing w:after="0"/>
              <w:rPr>
                <w:sz w:val="20"/>
                <w:szCs w:val="20"/>
                <w:color w:val="auto"/>
              </w:rPr>
            </w:pPr>
            <w:r>
              <w:rPr>
                <w:rFonts w:ascii="Times New Roman" w:cs="Times New Roman" w:eastAsia="Times New Roman" w:hAnsi="Times New Roman"/>
                <w:sz w:val="11"/>
                <w:szCs w:val="11"/>
                <w:b w:val="1"/>
                <w:bCs w:val="1"/>
                <w:color w:val="auto"/>
              </w:rPr>
              <w:t>Description of Exhibits</w:t>
            </w:r>
          </w:p>
        </w:tc>
        <w:tc>
          <w:tcPr>
            <w:tcW w:w="0" w:type="dxa"/>
            <w:vAlign w:val="bottom"/>
          </w:tcPr>
          <w:p>
            <w:pPr>
              <w:spacing w:after="0"/>
              <w:rPr>
                <w:sz w:val="1"/>
                <w:szCs w:val="1"/>
                <w:color w:val="auto"/>
              </w:rPr>
            </w:pPr>
          </w:p>
        </w:tc>
      </w:tr>
      <w:tr>
        <w:trPr>
          <w:trHeight w:val="136"/>
        </w:trPr>
        <w:tc>
          <w:tcPr>
            <w:tcW w:w="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No.</w:t>
            </w:r>
          </w:p>
        </w:tc>
        <w:tc>
          <w:tcPr>
            <w:tcW w:w="360" w:type="dxa"/>
            <w:vAlign w:val="bottom"/>
          </w:tcPr>
          <w:p>
            <w:pPr>
              <w:spacing w:after="0"/>
              <w:rPr>
                <w:sz w:val="11"/>
                <w:szCs w:val="11"/>
                <w:color w:val="auto"/>
              </w:rPr>
            </w:pPr>
          </w:p>
        </w:tc>
        <w:tc>
          <w:tcPr>
            <w:tcW w:w="7880" w:type="dxa"/>
            <w:vAlign w:val="bottom"/>
            <w:tcBorders>
              <w:bottom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bl>
    <w:p>
      <w:pPr>
        <w:spacing w:after="0" w:line="6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5">
                      <a:extLst>
                        <a:ext uri="{28A0092B-C50C-407E-A947-70E740481C1C}"/>
                      </a:extLst>
                    </a:blip>
                    <a:srcRect/>
                    <a:stretch>
                      <a:fillRect/>
                    </a:stretch>
                  </pic:blipFill>
                  <pic:spPr bwMode="auto">
                    <a:xfrm>
                      <a:off x="0" y="0"/>
                      <a:ext cx="7200265" cy="33020"/>
                    </a:xfrm>
                    <a:prstGeom prst="rect">
                      <a:avLst/>
                    </a:prstGeom>
                    <a:noFill/>
                  </pic:spPr>
                </pic:pic>
              </a:graphicData>
            </a:graphic>
          </wp:anchor>
        </w:drawing>
      </w:r>
    </w:p>
    <w:p>
      <w:pPr>
        <w:ind w:left="160"/>
        <w:spacing w:after="0"/>
        <w:tabs>
          <w:tab w:leader="none" w:pos="940" w:val="left"/>
        </w:tabs>
        <w:rPr>
          <w:sz w:val="20"/>
          <w:szCs w:val="20"/>
          <w:color w:val="auto"/>
        </w:rPr>
      </w:pPr>
      <w:r>
        <w:rPr>
          <w:rFonts w:ascii="Times New Roman" w:cs="Times New Roman" w:eastAsia="Times New Roman" w:hAnsi="Times New Roman"/>
          <w:sz w:val="14"/>
          <w:szCs w:val="14"/>
          <w:color w:val="auto"/>
        </w:rPr>
        <w:t>    1.1*</w:t>
      </w:r>
      <w:r>
        <w:rPr>
          <w:sz w:val="20"/>
          <w:szCs w:val="20"/>
          <w:color w:val="auto"/>
        </w:rPr>
        <w:tab/>
      </w:r>
      <w:r>
        <w:rPr>
          <w:rFonts w:ascii="Times New Roman" w:cs="Times New Roman" w:eastAsia="Times New Roman" w:hAnsi="Times New Roman"/>
          <w:sz w:val="14"/>
          <w:szCs w:val="14"/>
          <w:color w:val="auto"/>
        </w:rPr>
        <w:t>Form of Underwriting Agreement.</w:t>
      </w:r>
    </w:p>
    <w:p>
      <w:pPr>
        <w:spacing w:after="0" w:line="94" w:lineRule="exact"/>
        <w:rPr>
          <w:sz w:val="20"/>
          <w:szCs w:val="20"/>
          <w:color w:val="auto"/>
        </w:rPr>
      </w:pPr>
    </w:p>
    <w:p>
      <w:pPr>
        <w:ind w:left="960" w:right="219" w:hanging="786"/>
        <w:spacing w:after="0" w:line="288" w:lineRule="auto"/>
        <w:tabs>
          <w:tab w:leader="none" w:pos="940" w:val="left"/>
        </w:tabs>
        <w:rPr>
          <w:sz w:val="20"/>
          <w:szCs w:val="20"/>
          <w:color w:val="auto"/>
        </w:rPr>
      </w:pPr>
      <w:r>
        <w:rPr>
          <w:rFonts w:ascii="Times New Roman" w:cs="Times New Roman" w:eastAsia="Times New Roman" w:hAnsi="Times New Roman"/>
          <w:sz w:val="14"/>
          <w:szCs w:val="14"/>
          <w:color w:val="auto"/>
        </w:rPr>
        <w:t>    4.1</w:t>
      </w:r>
      <w:r>
        <w:rPr>
          <w:sz w:val="20"/>
          <w:szCs w:val="20"/>
          <w:color w:val="auto"/>
        </w:rPr>
        <w:tab/>
      </w:r>
      <w:r>
        <w:rPr>
          <w:rFonts w:ascii="Times New Roman" w:cs="Times New Roman" w:eastAsia="Times New Roman" w:hAnsi="Times New Roman"/>
          <w:sz w:val="14"/>
          <w:szCs w:val="14"/>
          <w:u w:val="single" w:color="auto"/>
          <w:color w:val="0000EE"/>
        </w:rPr>
        <w:t>Form of Indenture for debt securities between the registrants and the trustee to be named therein (including form of debt security and form of guarantee).</w:t>
      </w:r>
    </w:p>
    <w:p>
      <w:pPr>
        <w:spacing w:after="0" w:line="39" w:lineRule="exact"/>
        <w:rPr>
          <w:sz w:val="20"/>
          <w:szCs w:val="20"/>
          <w:color w:val="auto"/>
        </w:rPr>
      </w:pPr>
    </w:p>
    <w:p>
      <w:pPr>
        <w:ind w:left="240" w:hanging="77"/>
        <w:spacing w:after="0"/>
        <w:tabs>
          <w:tab w:leader="none" w:pos="24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5.1</w:t>
      </w:r>
      <w:r>
        <w:rPr>
          <w:rFonts w:ascii="Times New Roman" w:cs="Times New Roman" w:eastAsia="Times New Roman" w:hAnsi="Times New Roman"/>
          <w:sz w:val="14"/>
          <w:szCs w:val="14"/>
          <w:u w:val="single" w:color="auto"/>
          <w:color w:val="0000EE"/>
        </w:rPr>
        <w:t>Opinion of Roger Saldaña Madero.</w:t>
      </w:r>
    </w:p>
    <w:p>
      <w:pPr>
        <w:spacing w:after="0" w:line="94" w:lineRule="exact"/>
        <w:rPr>
          <w:rFonts w:ascii="Times New Roman" w:cs="Times New Roman" w:eastAsia="Times New Roman" w:hAnsi="Times New Roman"/>
          <w:sz w:val="14"/>
          <w:szCs w:val="14"/>
          <w:color w:val="auto"/>
        </w:rPr>
      </w:pPr>
    </w:p>
    <w:p>
      <w:pPr>
        <w:ind w:left="240" w:hanging="77"/>
        <w:spacing w:after="0"/>
        <w:tabs>
          <w:tab w:leader="none" w:pos="24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5.2</w:t>
      </w:r>
      <w:r>
        <w:rPr>
          <w:rFonts w:ascii="Times New Roman" w:cs="Times New Roman" w:eastAsia="Times New Roman" w:hAnsi="Times New Roman"/>
          <w:sz w:val="14"/>
          <w:szCs w:val="14"/>
          <w:u w:val="single" w:color="auto"/>
          <w:color w:val="0000EE"/>
        </w:rPr>
        <w:t>Opinion of Skadden, Arps, Slate, Meagher &amp; Flom LLP.</w:t>
      </w:r>
    </w:p>
    <w:p>
      <w:pPr>
        <w:spacing w:after="0" w:line="86" w:lineRule="exact"/>
        <w:rPr>
          <w:sz w:val="20"/>
          <w:szCs w:val="20"/>
          <w:color w:val="auto"/>
        </w:rPr>
      </w:pPr>
    </w:p>
    <w:tbl>
      <w:tblPr>
        <w:tblLayout w:type="fixed"/>
        <w:tblInd w:w="160" w:type="dxa"/>
        <w:tblCellMar>
          <w:top w:w="0" w:type="dxa"/>
          <w:left w:w="0" w:type="dxa"/>
          <w:bottom w:w="0" w:type="dxa"/>
          <w:right w:w="0" w:type="dxa"/>
        </w:tblCellMar>
      </w:tblPr>
      <w:tr>
        <w:trPr>
          <w:trHeight w:val="161"/>
        </w:trPr>
        <w:tc>
          <w:tcPr>
            <w:tcW w:w="800" w:type="dxa"/>
            <w:vAlign w:val="bottom"/>
          </w:tcPr>
          <w:p>
            <w:pPr>
              <w:spacing w:after="0"/>
              <w:rPr>
                <w:sz w:val="20"/>
                <w:szCs w:val="20"/>
                <w:color w:val="auto"/>
              </w:rPr>
            </w:pPr>
            <w:r>
              <w:rPr>
                <w:rFonts w:ascii="Times New Roman" w:cs="Times New Roman" w:eastAsia="Times New Roman" w:hAnsi="Times New Roman"/>
                <w:sz w:val="14"/>
                <w:szCs w:val="14"/>
                <w:color w:val="auto"/>
              </w:rPr>
              <w:t>  22.1</w:t>
            </w:r>
          </w:p>
        </w:tc>
        <w:tc>
          <w:tcPr>
            <w:tcW w:w="7240" w:type="dxa"/>
            <w:vAlign w:val="bottom"/>
            <w:tcBorders>
              <w:bottom w:val="single" w:sz="8" w:color="0000EE"/>
            </w:tcBorders>
            <w:gridSpan w:val="6"/>
          </w:tcPr>
          <w:p>
            <w:pPr>
              <w:spacing w:after="0"/>
              <w:rPr>
                <w:sz w:val="20"/>
                <w:szCs w:val="20"/>
                <w:color w:val="auto"/>
              </w:rPr>
            </w:pPr>
            <w:r>
              <w:rPr>
                <w:rFonts w:ascii="Times New Roman" w:cs="Times New Roman" w:eastAsia="Times New Roman" w:hAnsi="Times New Roman"/>
                <w:sz w:val="14"/>
                <w:szCs w:val="14"/>
                <w:color w:val="0000EE"/>
              </w:rPr>
              <w:t>Subsidiary guarantors and issuers of guaranteed securities and affiliates whose securities collateralize securities of the registrant</w:t>
            </w:r>
          </w:p>
        </w:tc>
      </w:tr>
      <w:tr>
        <w:trPr>
          <w:trHeight w:val="235"/>
        </w:trPr>
        <w:tc>
          <w:tcPr>
            <w:tcW w:w="800" w:type="dxa"/>
            <w:vAlign w:val="bottom"/>
          </w:tcPr>
          <w:p>
            <w:pPr>
              <w:spacing w:after="0"/>
              <w:rPr>
                <w:sz w:val="20"/>
                <w:szCs w:val="20"/>
                <w:color w:val="auto"/>
              </w:rPr>
            </w:pPr>
            <w:r>
              <w:rPr>
                <w:rFonts w:ascii="Times New Roman" w:cs="Times New Roman" w:eastAsia="Times New Roman" w:hAnsi="Times New Roman"/>
                <w:sz w:val="14"/>
                <w:szCs w:val="14"/>
                <w:color w:val="auto"/>
              </w:rPr>
              <w:t>  23.1</w:t>
            </w:r>
          </w:p>
        </w:tc>
        <w:tc>
          <w:tcPr>
            <w:tcW w:w="7240" w:type="dxa"/>
            <w:vAlign w:val="bottom"/>
            <w:gridSpan w:val="6"/>
          </w:tcPr>
          <w:p>
            <w:pPr>
              <w:spacing w:after="0"/>
              <w:rPr>
                <w:sz w:val="20"/>
                <w:szCs w:val="20"/>
                <w:color w:val="auto"/>
              </w:rPr>
            </w:pPr>
            <w:r>
              <w:rPr>
                <w:rFonts w:ascii="Times New Roman" w:cs="Times New Roman" w:eastAsia="Times New Roman" w:hAnsi="Times New Roman"/>
                <w:sz w:val="14"/>
                <w:szCs w:val="14"/>
                <w:color w:val="0000EE"/>
              </w:rPr>
              <w:t>Consent of KPMG Cárdenas Dosal, S.C., an independent registered public accounting firm.</w:t>
            </w:r>
          </w:p>
        </w:tc>
      </w:tr>
      <w:tr>
        <w:trPr>
          <w:trHeight w:val="235"/>
        </w:trPr>
        <w:tc>
          <w:tcPr>
            <w:tcW w:w="800" w:type="dxa"/>
            <w:vAlign w:val="bottom"/>
          </w:tcPr>
          <w:p>
            <w:pPr>
              <w:spacing w:after="0"/>
              <w:rPr>
                <w:sz w:val="20"/>
                <w:szCs w:val="20"/>
                <w:color w:val="auto"/>
              </w:rPr>
            </w:pPr>
            <w:r>
              <w:rPr>
                <w:rFonts w:ascii="Times New Roman" w:cs="Times New Roman" w:eastAsia="Times New Roman" w:hAnsi="Times New Roman"/>
                <w:sz w:val="14"/>
                <w:szCs w:val="14"/>
                <w:color w:val="auto"/>
              </w:rPr>
              <w:t>  23.2</w:t>
            </w:r>
          </w:p>
        </w:tc>
        <w:tc>
          <w:tcPr>
            <w:tcW w:w="3420" w:type="dxa"/>
            <w:vAlign w:val="bottom"/>
            <w:tcBorders>
              <w:top w:val="single" w:sz="8" w:color="0000EE"/>
              <w:bottom w:val="single" w:sz="8" w:color="0000EE"/>
            </w:tcBorders>
            <w:gridSpan w:val="2"/>
          </w:tcPr>
          <w:p>
            <w:pPr>
              <w:spacing w:after="0"/>
              <w:rPr>
                <w:sz w:val="20"/>
                <w:szCs w:val="20"/>
                <w:color w:val="auto"/>
              </w:rPr>
            </w:pPr>
            <w:r>
              <w:rPr>
                <w:rFonts w:ascii="Times New Roman" w:cs="Times New Roman" w:eastAsia="Times New Roman" w:hAnsi="Times New Roman"/>
                <w:sz w:val="14"/>
                <w:szCs w:val="14"/>
                <w:color w:val="0000EE"/>
              </w:rPr>
              <w:t>Consent of Roger Saldaña Madero (included in Exhibit 5.1).</w:t>
            </w:r>
          </w:p>
        </w:tc>
        <w:tc>
          <w:tcPr>
            <w:tcW w:w="1760" w:type="dxa"/>
            <w:vAlign w:val="bottom"/>
            <w:tcBorders>
              <w:top w:val="single" w:sz="8" w:color="0000EE"/>
            </w:tcBorders>
            <w:gridSpan w:val="2"/>
          </w:tcPr>
          <w:p>
            <w:pPr>
              <w:spacing w:after="0"/>
              <w:rPr>
                <w:sz w:val="20"/>
                <w:szCs w:val="20"/>
                <w:color w:val="auto"/>
              </w:rPr>
            </w:pPr>
          </w:p>
        </w:tc>
        <w:tc>
          <w:tcPr>
            <w:tcW w:w="2060" w:type="dxa"/>
            <w:vAlign w:val="bottom"/>
            <w:gridSpan w:val="2"/>
          </w:tcPr>
          <w:p>
            <w:pPr>
              <w:spacing w:after="0"/>
              <w:rPr>
                <w:sz w:val="20"/>
                <w:szCs w:val="20"/>
                <w:color w:val="auto"/>
              </w:rPr>
            </w:pPr>
          </w:p>
        </w:tc>
      </w:tr>
      <w:tr>
        <w:trPr>
          <w:trHeight w:val="235"/>
        </w:trPr>
        <w:tc>
          <w:tcPr>
            <w:tcW w:w="800" w:type="dxa"/>
            <w:vAlign w:val="bottom"/>
          </w:tcPr>
          <w:p>
            <w:pPr>
              <w:spacing w:after="0"/>
              <w:rPr>
                <w:sz w:val="20"/>
                <w:szCs w:val="20"/>
                <w:color w:val="auto"/>
              </w:rPr>
            </w:pPr>
            <w:r>
              <w:rPr>
                <w:rFonts w:ascii="Times New Roman" w:cs="Times New Roman" w:eastAsia="Times New Roman" w:hAnsi="Times New Roman"/>
                <w:sz w:val="14"/>
                <w:szCs w:val="14"/>
                <w:color w:val="auto"/>
              </w:rPr>
              <w:t>  23.3</w:t>
            </w:r>
          </w:p>
        </w:tc>
        <w:tc>
          <w:tcPr>
            <w:tcW w:w="7240" w:type="dxa"/>
            <w:vAlign w:val="bottom"/>
            <w:gridSpan w:val="6"/>
          </w:tcPr>
          <w:p>
            <w:pPr>
              <w:spacing w:after="0"/>
              <w:rPr>
                <w:sz w:val="20"/>
                <w:szCs w:val="20"/>
                <w:color w:val="auto"/>
              </w:rPr>
            </w:pPr>
            <w:r>
              <w:rPr>
                <w:rFonts w:ascii="Times New Roman" w:cs="Times New Roman" w:eastAsia="Times New Roman" w:hAnsi="Times New Roman"/>
                <w:sz w:val="14"/>
                <w:szCs w:val="14"/>
                <w:color w:val="0000EE"/>
              </w:rPr>
              <w:t>Consent of Skadden, Arps, Slate, Meagher &amp; Flom LLP (included in Exhibit 5.2).</w:t>
            </w:r>
          </w:p>
        </w:tc>
      </w:tr>
      <w:tr>
        <w:trPr>
          <w:trHeight w:val="235"/>
        </w:trPr>
        <w:tc>
          <w:tcPr>
            <w:tcW w:w="800" w:type="dxa"/>
            <w:vAlign w:val="bottom"/>
          </w:tcPr>
          <w:p>
            <w:pPr>
              <w:spacing w:after="0"/>
              <w:rPr>
                <w:sz w:val="20"/>
                <w:szCs w:val="20"/>
                <w:color w:val="auto"/>
              </w:rPr>
            </w:pPr>
            <w:r>
              <w:rPr>
                <w:rFonts w:ascii="Times New Roman" w:cs="Times New Roman" w:eastAsia="Times New Roman" w:hAnsi="Times New Roman"/>
                <w:sz w:val="14"/>
                <w:szCs w:val="14"/>
                <w:color w:val="auto"/>
              </w:rPr>
              <w:t>  24.1</w:t>
            </w:r>
          </w:p>
        </w:tc>
        <w:tc>
          <w:tcPr>
            <w:tcW w:w="3240" w:type="dxa"/>
            <w:vAlign w:val="bottom"/>
            <w:tcBorders>
              <w:top w:val="single" w:sz="8" w:color="0000EE"/>
              <w:bottom w:val="single" w:sz="8" w:color="0000EE"/>
            </w:tcBorders>
          </w:tcPr>
          <w:p>
            <w:pPr>
              <w:spacing w:after="0"/>
              <w:rPr>
                <w:sz w:val="20"/>
                <w:szCs w:val="20"/>
                <w:color w:val="auto"/>
              </w:rPr>
            </w:pPr>
            <w:r>
              <w:rPr>
                <w:rFonts w:ascii="Times New Roman" w:cs="Times New Roman" w:eastAsia="Times New Roman" w:hAnsi="Times New Roman"/>
                <w:sz w:val="14"/>
                <w:szCs w:val="14"/>
                <w:color w:val="0000EE"/>
              </w:rPr>
              <w:t>Powers of Attorney (included on signature pages hereto).</w:t>
            </w:r>
          </w:p>
        </w:tc>
        <w:tc>
          <w:tcPr>
            <w:tcW w:w="1400" w:type="dxa"/>
            <w:vAlign w:val="bottom"/>
            <w:tcBorders>
              <w:top w:val="single" w:sz="8" w:color="0000EE"/>
            </w:tcBorders>
            <w:gridSpan w:val="2"/>
          </w:tcPr>
          <w:p>
            <w:pPr>
              <w:spacing w:after="0"/>
              <w:rPr>
                <w:sz w:val="20"/>
                <w:szCs w:val="20"/>
                <w:color w:val="auto"/>
              </w:rPr>
            </w:pPr>
          </w:p>
        </w:tc>
        <w:tc>
          <w:tcPr>
            <w:tcW w:w="2600" w:type="dxa"/>
            <w:vAlign w:val="bottom"/>
            <w:gridSpan w:val="3"/>
          </w:tcPr>
          <w:p>
            <w:pPr>
              <w:spacing w:after="0"/>
              <w:rPr>
                <w:sz w:val="20"/>
                <w:szCs w:val="20"/>
                <w:color w:val="auto"/>
              </w:rPr>
            </w:pPr>
          </w:p>
        </w:tc>
      </w:tr>
      <w:tr>
        <w:trPr>
          <w:trHeight w:val="235"/>
        </w:trPr>
        <w:tc>
          <w:tcPr>
            <w:tcW w:w="800" w:type="dxa"/>
            <w:vAlign w:val="bottom"/>
          </w:tcPr>
          <w:p>
            <w:pPr>
              <w:spacing w:after="0"/>
              <w:rPr>
                <w:sz w:val="20"/>
                <w:szCs w:val="20"/>
                <w:color w:val="auto"/>
              </w:rPr>
            </w:pPr>
            <w:r>
              <w:rPr>
                <w:rFonts w:ascii="Times New Roman" w:cs="Times New Roman" w:eastAsia="Times New Roman" w:hAnsi="Times New Roman"/>
                <w:sz w:val="14"/>
                <w:szCs w:val="14"/>
                <w:color w:val="auto"/>
              </w:rPr>
              <w:t>  25.1</w:t>
            </w:r>
          </w:p>
        </w:tc>
        <w:tc>
          <w:tcPr>
            <w:tcW w:w="7240" w:type="dxa"/>
            <w:vAlign w:val="bottom"/>
            <w:gridSpan w:val="6"/>
          </w:tcPr>
          <w:p>
            <w:pPr>
              <w:spacing w:after="0"/>
              <w:rPr>
                <w:sz w:val="20"/>
                <w:szCs w:val="20"/>
                <w:color w:val="auto"/>
              </w:rPr>
            </w:pPr>
            <w:r>
              <w:rPr>
                <w:rFonts w:ascii="Times New Roman" w:cs="Times New Roman" w:eastAsia="Times New Roman" w:hAnsi="Times New Roman"/>
                <w:sz w:val="14"/>
                <w:szCs w:val="14"/>
                <w:color w:val="0000EE"/>
              </w:rPr>
              <w:t>Statement of Eligibility on Form T-1 The Bank of New York Mellon as trustee for the form of Indenture.</w:t>
            </w:r>
          </w:p>
        </w:tc>
      </w:tr>
      <w:tr>
        <w:trPr>
          <w:trHeight w:val="20"/>
        </w:trPr>
        <w:tc>
          <w:tcPr>
            <w:tcW w:w="800" w:type="dxa"/>
            <w:vAlign w:val="bottom"/>
          </w:tcPr>
          <w:p>
            <w:pPr>
              <w:spacing w:after="0" w:line="20" w:lineRule="exact"/>
              <w:rPr>
                <w:sz w:val="1"/>
                <w:szCs w:val="1"/>
                <w:color w:val="auto"/>
              </w:rPr>
            </w:pPr>
          </w:p>
        </w:tc>
        <w:tc>
          <w:tcPr>
            <w:tcW w:w="32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bl>
    <w:p>
      <w:pPr>
        <w:spacing w:after="0" w:line="92" w:lineRule="exact"/>
        <w:rPr>
          <w:sz w:val="20"/>
          <w:szCs w:val="20"/>
          <w:color w:val="auto"/>
        </w:rPr>
      </w:pPr>
    </w:p>
    <w:p>
      <w:pPr>
        <w:ind w:left="960" w:hanging="797"/>
        <w:spacing w:after="0"/>
        <w:tabs>
          <w:tab w:leader="none" w:pos="96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0000EE"/>
        </w:rPr>
        <w:t>Filing Fee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103505</wp:posOffset>
            </wp:positionH>
            <wp:positionV relativeFrom="paragraph">
              <wp:posOffset>210820</wp:posOffset>
            </wp:positionV>
            <wp:extent cx="608330" cy="698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6">
                      <a:extLst>
                        <a:ext uri="{28A0092B-C50C-407E-A947-70E740481C1C}"/>
                      </a:extLst>
                    </a:blip>
                    <a:srcRect/>
                    <a:stretch>
                      <a:fillRect/>
                    </a:stretch>
                  </pic:blipFill>
                  <pic:spPr bwMode="auto">
                    <a:xfrm>
                      <a:off x="0" y="0"/>
                      <a:ext cx="608330" cy="6985"/>
                    </a:xfrm>
                    <a:prstGeom prst="rect">
                      <a:avLst/>
                    </a:prstGeom>
                    <a:noFill/>
                  </pic:spPr>
                </pic:pic>
              </a:graphicData>
            </a:graphic>
          </wp:anchor>
        </w:drawing>
      </w:r>
    </w:p>
    <w:p>
      <w:pPr>
        <w:spacing w:after="0" w:line="330" w:lineRule="exact"/>
        <w:rPr>
          <w:sz w:val="20"/>
          <w:szCs w:val="20"/>
          <w:color w:val="auto"/>
        </w:rPr>
      </w:pPr>
    </w:p>
    <w:p>
      <w:pPr>
        <w:ind w:left="340" w:right="379" w:hanging="177"/>
        <w:spacing w:after="0" w:line="288" w:lineRule="auto"/>
        <w:tabs>
          <w:tab w:leader="none" w:pos="34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 will furnish on a Form 6-K and incorporate by reference any related form used in the future and not previously filed by means of an amendment or incorporated by reference.</w:t>
      </w:r>
    </w:p>
    <w:p>
      <w:pPr>
        <w:spacing w:after="0" w:line="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II-4</w:t>
      </w:r>
    </w:p>
    <w:p>
      <w:pPr>
        <w:sectPr>
          <w:pgSz w:w="11900" w:h="16838" w:orient="portrait"/>
          <w:cols w:equalWidth="0" w:num="1">
            <w:col w:w="9019"/>
          </w:cols>
          <w:pgMar w:left="1440" w:top="240" w:right="1440" w:bottom="1440" w:gutter="0" w:footer="0" w:header="0"/>
        </w:sectPr>
      </w:pPr>
    </w:p>
    <w:bookmarkStart w:id="23" w:name="page24"/>
    <w:bookmarkEnd w:id="23"/>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7">
                      <a:extLst>
                        <a:ext uri="{28A0092B-C50C-407E-A947-70E740481C1C}"/>
                      </a:extLst>
                    </a:blip>
                    <a:srcRect/>
                    <a:stretch>
                      <a:fillRect/>
                    </a:stretch>
                  </pic:blipFill>
                  <pic:spPr bwMode="auto">
                    <a:xfrm>
                      <a:off x="0" y="0"/>
                      <a:ext cx="7200265" cy="33020"/>
                    </a:xfrm>
                    <a:prstGeom prst="rect">
                      <a:avLst/>
                    </a:prstGeom>
                    <a:noFill/>
                  </pic:spPr>
                </pic:pic>
              </a:graphicData>
            </a:graphic>
          </wp:anchor>
        </w:drawing>
        <w:t>SIGNATURES</w:t>
      </w:r>
    </w:p>
    <w:p>
      <w:pPr>
        <w:spacing w:after="0" w:line="181" w:lineRule="exact"/>
        <w:rPr>
          <w:sz w:val="20"/>
          <w:szCs w:val="20"/>
          <w:color w:val="auto"/>
        </w:rPr>
      </w:pPr>
    </w:p>
    <w:p>
      <w:pPr>
        <w:ind w:left="160" w:right="219" w:firstLine="347"/>
        <w:spacing w:after="0" w:line="271" w:lineRule="auto"/>
        <w:rPr>
          <w:sz w:val="20"/>
          <w:szCs w:val="20"/>
          <w:color w:val="auto"/>
        </w:rPr>
      </w:pPr>
      <w:r>
        <w:rPr>
          <w:rFonts w:ascii="Times New Roman" w:cs="Times New Roman" w:eastAsia="Times New Roman" w:hAnsi="Times New Roman"/>
          <w:sz w:val="14"/>
          <w:szCs w:val="14"/>
          <w:color w:val="auto"/>
        </w:rPr>
        <w:t>Pursuant to the requirements of the Securities Act of 1933, the registrant certifies that it has reasonable grounds to believe that it meets all of the requirements for filing on Form F-3 and has duly caused this registration statement on Form F-3 to be signed on its behalf by the undersigned, thereunto duly authorized, in New York, New York, on June 1, 2026.</w:t>
      </w:r>
    </w:p>
    <w:p>
      <w:pPr>
        <w:spacing w:after="0" w:line="155"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4"/>
          <w:szCs w:val="14"/>
          <w:b w:val="1"/>
          <w:bCs w:val="1"/>
          <w:color w:val="auto"/>
        </w:rPr>
        <w:t>Cemex, S.A.B de C.V.</w:t>
      </w:r>
    </w:p>
    <w:p>
      <w:pPr>
        <w:spacing w:after="0" w:line="181"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4"/>
          <w:szCs w:val="14"/>
          <w:color w:val="auto"/>
        </w:rPr>
        <w:t>By: /s/ Maher Al-Haffar</w:t>
      </w:r>
    </w:p>
    <w:p>
      <w:pPr>
        <w:spacing w:after="0" w:line="23" w:lineRule="exact"/>
        <w:rPr>
          <w:sz w:val="20"/>
          <w:szCs w:val="20"/>
          <w:color w:val="auto"/>
        </w:rPr>
      </w:pPr>
    </w:p>
    <w:tbl>
      <w:tblPr>
        <w:tblLayout w:type="fixed"/>
        <w:tblInd w:w="5620" w:type="dxa"/>
        <w:tblCellMar>
          <w:top w:w="0" w:type="dxa"/>
          <w:left w:w="0" w:type="dxa"/>
          <w:bottom w:w="0" w:type="dxa"/>
          <w:right w:w="0" w:type="dxa"/>
        </w:tblCellMar>
      </w:tblPr>
      <w:tr>
        <w:trPr>
          <w:trHeight w:val="147"/>
        </w:trPr>
        <w:tc>
          <w:tcPr>
            <w:tcW w:w="460" w:type="dxa"/>
            <w:vAlign w:val="bottom"/>
            <w:tcBorders>
              <w:top w:val="single" w:sz="8" w:color="auto"/>
            </w:tcBorders>
            <w:gridSpan w:val="3"/>
          </w:tcPr>
          <w:p>
            <w:pPr>
              <w:ind w:left="40"/>
              <w:spacing w:after="0" w:line="147" w:lineRule="exact"/>
              <w:rPr>
                <w:sz w:val="20"/>
                <w:szCs w:val="20"/>
                <w:color w:val="auto"/>
              </w:rPr>
            </w:pPr>
            <w:r>
              <w:rPr>
                <w:rFonts w:ascii="Times New Roman" w:cs="Times New Roman" w:eastAsia="Times New Roman" w:hAnsi="Times New Roman"/>
                <w:sz w:val="14"/>
                <w:szCs w:val="14"/>
                <w:color w:val="auto"/>
                <w:w w:val="77"/>
              </w:rPr>
              <w:t>Name: </w:t>
            </w:r>
          </w:p>
        </w:tc>
        <w:tc>
          <w:tcPr>
            <w:tcW w:w="2760" w:type="dxa"/>
            <w:vAlign w:val="bottom"/>
            <w:tcBorders>
              <w:top w:val="single" w:sz="8" w:color="auto"/>
            </w:tcBorders>
          </w:tcPr>
          <w:p>
            <w:pPr>
              <w:ind w:left="100"/>
              <w:spacing w:after="0" w:line="147" w:lineRule="exact"/>
              <w:rPr>
                <w:sz w:val="20"/>
                <w:szCs w:val="20"/>
                <w:color w:val="auto"/>
              </w:rPr>
            </w:pPr>
            <w:r>
              <w:rPr>
                <w:rFonts w:ascii="Times New Roman" w:cs="Times New Roman" w:eastAsia="Times New Roman" w:hAnsi="Times New Roman"/>
                <w:sz w:val="14"/>
                <w:szCs w:val="14"/>
                <w:color w:val="auto"/>
              </w:rPr>
              <w:t>Maher Al-Haffar</w:t>
            </w:r>
          </w:p>
        </w:tc>
      </w:tr>
      <w:tr>
        <w:trPr>
          <w:trHeight w:val="170"/>
        </w:trPr>
        <w:tc>
          <w:tcPr>
            <w:tcW w:w="460" w:type="dxa"/>
            <w:vAlign w:val="bottom"/>
            <w:gridSpan w:val="3"/>
          </w:tcPr>
          <w:p>
            <w:pPr>
              <w:jc w:val="center"/>
              <w:spacing w:after="0"/>
              <w:rPr>
                <w:sz w:val="20"/>
                <w:szCs w:val="20"/>
                <w:color w:val="auto"/>
              </w:rPr>
            </w:pPr>
            <w:r>
              <w:rPr>
                <w:rFonts w:ascii="Times New Roman" w:cs="Times New Roman" w:eastAsia="Times New Roman" w:hAnsi="Times New Roman"/>
                <w:sz w:val="14"/>
                <w:szCs w:val="14"/>
                <w:color w:val="auto"/>
                <w:w w:val="76"/>
              </w:rPr>
              <w:t>Title: </w:t>
            </w:r>
          </w:p>
        </w:tc>
        <w:tc>
          <w:tcPr>
            <w:tcW w:w="27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  Executive Vice President of Finance</w:t>
            </w:r>
          </w:p>
        </w:tc>
      </w:tr>
      <w:tr>
        <w:trPr>
          <w:trHeight w:val="170"/>
        </w:trPr>
        <w:tc>
          <w:tcPr>
            <w:tcW w:w="140" w:type="dxa"/>
            <w:vAlign w:val="bottom"/>
          </w:tcPr>
          <w:p>
            <w:pPr>
              <w:spacing w:after="0"/>
              <w:rPr>
                <w:sz w:val="20"/>
                <w:szCs w:val="20"/>
                <w:color w:val="auto"/>
              </w:rPr>
            </w:pPr>
            <w:r>
              <w:rPr>
                <w:rFonts w:ascii="Times New Roman" w:cs="Times New Roman" w:eastAsia="Times New Roman" w:hAnsi="Times New Roman"/>
                <w:sz w:val="13"/>
                <w:szCs w:val="13"/>
                <w:color w:val="auto"/>
                <w:w w:val="73"/>
              </w:rPr>
              <w:t>  </w:t>
            </w:r>
          </w:p>
        </w:tc>
        <w:tc>
          <w:tcPr>
            <w:tcW w:w="140" w:type="dxa"/>
            <w:vAlign w:val="bottom"/>
          </w:tcPr>
          <w:p>
            <w:pPr>
              <w:jc w:val="center"/>
              <w:spacing w:after="0"/>
              <w:rPr>
                <w:sz w:val="20"/>
                <w:szCs w:val="20"/>
                <w:color w:val="auto"/>
              </w:rPr>
            </w:pPr>
            <w:r>
              <w:rPr>
                <w:rFonts w:ascii="Times New Roman" w:cs="Times New Roman" w:eastAsia="Times New Roman" w:hAnsi="Times New Roman"/>
                <w:sz w:val="5"/>
                <w:szCs w:val="5"/>
                <w:color w:val="auto"/>
                <w:w w:val="79"/>
              </w:rPr>
              <w:t> </w:t>
            </w:r>
          </w:p>
        </w:tc>
        <w:tc>
          <w:tcPr>
            <w:tcW w:w="180" w:type="dxa"/>
            <w:vAlign w:val="bottom"/>
          </w:tcPr>
          <w:p>
            <w:pPr>
              <w:ind w:left="40"/>
              <w:spacing w:after="0"/>
              <w:rPr>
                <w:sz w:val="20"/>
                <w:szCs w:val="20"/>
                <w:color w:val="auto"/>
              </w:rPr>
            </w:pPr>
            <w:r>
              <w:rPr>
                <w:rFonts w:ascii="Times New Roman" w:cs="Times New Roman" w:eastAsia="Times New Roman" w:hAnsi="Times New Roman"/>
                <w:sz w:val="14"/>
                <w:szCs w:val="14"/>
                <w:color w:val="auto"/>
                <w:w w:val="85"/>
              </w:rPr>
              <w:t> </w:t>
            </w:r>
          </w:p>
        </w:tc>
        <w:tc>
          <w:tcPr>
            <w:tcW w:w="2760" w:type="dxa"/>
            <w:vAlign w:val="bottom"/>
          </w:tcPr>
          <w:p>
            <w:pPr>
              <w:spacing w:after="0"/>
              <w:rPr>
                <w:sz w:val="20"/>
                <w:szCs w:val="20"/>
                <w:color w:val="auto"/>
              </w:rPr>
            </w:pPr>
            <w:r>
              <w:rPr>
                <w:rFonts w:ascii="Times New Roman" w:cs="Times New Roman" w:eastAsia="Times New Roman" w:hAnsi="Times New Roman"/>
                <w:sz w:val="14"/>
                <w:szCs w:val="14"/>
                <w:color w:val="auto"/>
              </w:rPr>
              <w:t>   and Administration and Chief</w:t>
            </w:r>
          </w:p>
        </w:tc>
      </w:tr>
      <w:tr>
        <w:trPr>
          <w:trHeight w:val="184"/>
        </w:trPr>
        <w:tc>
          <w:tcPr>
            <w:tcW w:w="140" w:type="dxa"/>
            <w:vAlign w:val="bottom"/>
          </w:tcPr>
          <w:p>
            <w:pPr>
              <w:spacing w:after="0"/>
              <w:rPr>
                <w:sz w:val="20"/>
                <w:szCs w:val="20"/>
                <w:color w:val="auto"/>
              </w:rPr>
            </w:pPr>
            <w:r>
              <w:rPr>
                <w:rFonts w:ascii="Times New Roman" w:cs="Times New Roman" w:eastAsia="Times New Roman" w:hAnsi="Times New Roman"/>
                <w:sz w:val="13"/>
                <w:szCs w:val="13"/>
                <w:color w:val="auto"/>
                <w:w w:val="73"/>
              </w:rPr>
              <w:t>  </w:t>
            </w:r>
          </w:p>
        </w:tc>
        <w:tc>
          <w:tcPr>
            <w:tcW w:w="140" w:type="dxa"/>
            <w:vAlign w:val="bottom"/>
          </w:tcPr>
          <w:p>
            <w:pPr>
              <w:jc w:val="center"/>
              <w:spacing w:after="0"/>
              <w:rPr>
                <w:sz w:val="20"/>
                <w:szCs w:val="20"/>
                <w:color w:val="auto"/>
              </w:rPr>
            </w:pPr>
            <w:r>
              <w:rPr>
                <w:rFonts w:ascii="Times New Roman" w:cs="Times New Roman" w:eastAsia="Times New Roman" w:hAnsi="Times New Roman"/>
                <w:sz w:val="5"/>
                <w:szCs w:val="5"/>
                <w:color w:val="auto"/>
                <w:w w:val="79"/>
              </w:rPr>
              <w:t> </w:t>
            </w:r>
          </w:p>
        </w:tc>
        <w:tc>
          <w:tcPr>
            <w:tcW w:w="180" w:type="dxa"/>
            <w:vAlign w:val="bottom"/>
          </w:tcPr>
          <w:p>
            <w:pPr>
              <w:ind w:left="40"/>
              <w:spacing w:after="0"/>
              <w:rPr>
                <w:sz w:val="20"/>
                <w:szCs w:val="20"/>
                <w:color w:val="auto"/>
              </w:rPr>
            </w:pPr>
            <w:r>
              <w:rPr>
                <w:rFonts w:ascii="Times New Roman" w:cs="Times New Roman" w:eastAsia="Times New Roman" w:hAnsi="Times New Roman"/>
                <w:sz w:val="14"/>
                <w:szCs w:val="14"/>
                <w:color w:val="auto"/>
                <w:w w:val="85"/>
              </w:rPr>
              <w:t> </w:t>
            </w:r>
          </w:p>
        </w:tc>
        <w:tc>
          <w:tcPr>
            <w:tcW w:w="2760" w:type="dxa"/>
            <w:vAlign w:val="bottom"/>
          </w:tcPr>
          <w:p>
            <w:pPr>
              <w:spacing w:after="0"/>
              <w:rPr>
                <w:sz w:val="20"/>
                <w:szCs w:val="20"/>
                <w:color w:val="auto"/>
              </w:rPr>
            </w:pPr>
            <w:r>
              <w:rPr>
                <w:rFonts w:ascii="Times New Roman" w:cs="Times New Roman" w:eastAsia="Times New Roman" w:hAnsi="Times New Roman"/>
                <w:sz w:val="14"/>
                <w:szCs w:val="14"/>
                <w:color w:val="auto"/>
              </w:rPr>
              <w:t>   Financial Officer</w:t>
            </w:r>
          </w:p>
        </w:tc>
      </w:tr>
    </w:tbl>
    <w:p>
      <w:pPr>
        <w:spacing w:after="0" w:line="156" w:lineRule="exact"/>
        <w:rPr>
          <w:sz w:val="20"/>
          <w:szCs w:val="20"/>
          <w:color w:val="auto"/>
        </w:rPr>
      </w:pPr>
    </w:p>
    <w:p>
      <w:pPr>
        <w:ind w:left="160" w:right="199" w:firstLine="347"/>
        <w:spacing w:after="0" w:line="258" w:lineRule="auto"/>
        <w:rPr>
          <w:sz w:val="20"/>
          <w:szCs w:val="20"/>
          <w:color w:val="auto"/>
        </w:rPr>
      </w:pPr>
      <w:r>
        <w:rPr>
          <w:rFonts w:ascii="Times New Roman" w:cs="Times New Roman" w:eastAsia="Times New Roman" w:hAnsi="Times New Roman"/>
          <w:sz w:val="14"/>
          <w:szCs w:val="14"/>
          <w:color w:val="auto"/>
        </w:rPr>
        <w:t>In accordance with the requirements of the Securities Act of 1933, as amended, this Registration Statement has been signed by the following persons in the capacities and on the dates stated. Each person whose signature appears below constitutes and appoints Maher Al-Haffar, Fernando José Reiter Landa, Roger Saldaña Madero and Guillermo Francisco Hernández Morales and each of them severally, as his or her true and lawful attorney-in-fact and agent, each acting along with full power of substitution and resubstitution, for him or her and in his or her name, place and stead, in any and all capacities, to sign any or all amendments (including post-effective amendments) and exhibits to the Registration Statement on Form F-3, and to any registration statement filed under SEC Rule 462, and to file the same, with all exhibits thereto, and all documents in connection therewith, with the SEC, granting unto said attorney-in-fact and agent, full power and authority to do and perform each and every act and thing requisite and necessary to be done in and about the premises, as fully to all intents and purposes as he or she might or could do in person, hereby ratifying and confirming all that said attorney-in-fact and agent, or his or her substitute or substitutes, may lawfully do or cause to be done by virtue hereof.</w:t>
      </w:r>
    </w:p>
    <w:p>
      <w:pPr>
        <w:spacing w:after="0" w:line="145" w:lineRule="exact"/>
        <w:rPr>
          <w:sz w:val="20"/>
          <w:szCs w:val="20"/>
          <w:color w:val="auto"/>
        </w:rPr>
      </w:pPr>
    </w:p>
    <w:p>
      <w:pPr>
        <w:ind w:left="160" w:right="199" w:firstLine="347"/>
        <w:spacing w:after="0" w:line="288" w:lineRule="auto"/>
        <w:rPr>
          <w:sz w:val="20"/>
          <w:szCs w:val="20"/>
          <w:color w:val="auto"/>
        </w:rPr>
      </w:pPr>
      <w:r>
        <w:rPr>
          <w:rFonts w:ascii="Times New Roman" w:cs="Times New Roman" w:eastAsia="Times New Roman" w:hAnsi="Times New Roman"/>
          <w:sz w:val="14"/>
          <w:szCs w:val="14"/>
          <w:color w:val="auto"/>
        </w:rPr>
        <w:t>Pursuant to the requirements of the Securities Act of 1933, this registration statement on Form F-3 has been signed by the following persons in the capacities indicated on June 1, 2026</w:t>
      </w:r>
    </w:p>
    <w:p>
      <w:pPr>
        <w:spacing w:after="0" w:line="141" w:lineRule="exact"/>
        <w:rPr>
          <w:sz w:val="20"/>
          <w:szCs w:val="20"/>
          <w:color w:val="auto"/>
        </w:rPr>
      </w:pPr>
    </w:p>
    <w:tbl>
      <w:tblPr>
        <w:tblLayout w:type="fixed"/>
        <w:tblInd w:w="160" w:type="dxa"/>
        <w:tblCellMar>
          <w:top w:w="0" w:type="dxa"/>
          <w:left w:w="0" w:type="dxa"/>
          <w:bottom w:w="0" w:type="dxa"/>
          <w:right w:w="0" w:type="dxa"/>
        </w:tblCellMar>
      </w:tblPr>
      <w:tr>
        <w:trPr>
          <w:trHeight w:val="136"/>
        </w:trPr>
        <w:tc>
          <w:tcPr>
            <w:tcW w:w="1980" w:type="dxa"/>
            <w:vAlign w:val="bottom"/>
          </w:tcPr>
          <w:p>
            <w:pPr>
              <w:spacing w:after="0"/>
              <w:rPr>
                <w:sz w:val="11"/>
                <w:szCs w:val="11"/>
                <w:color w:val="auto"/>
              </w:rPr>
            </w:pPr>
          </w:p>
        </w:tc>
        <w:tc>
          <w:tcPr>
            <w:tcW w:w="48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Signature</w:t>
            </w:r>
          </w:p>
        </w:tc>
        <w:tc>
          <w:tcPr>
            <w:tcW w:w="1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960" w:type="dxa"/>
            <w:vAlign w:val="bottom"/>
            <w:gridSpan w:val="3"/>
          </w:tcPr>
          <w:p>
            <w:pPr>
              <w:ind w:left="2100"/>
              <w:spacing w:after="0"/>
              <w:rPr>
                <w:sz w:val="20"/>
                <w:szCs w:val="20"/>
                <w:color w:val="auto"/>
              </w:rPr>
            </w:pPr>
            <w:r>
              <w:rPr>
                <w:rFonts w:ascii="Times New Roman" w:cs="Times New Roman" w:eastAsia="Times New Roman" w:hAnsi="Times New Roman"/>
                <w:sz w:val="11"/>
                <w:szCs w:val="11"/>
                <w:b w:val="1"/>
                <w:bCs w:val="1"/>
                <w:color w:val="auto"/>
              </w:rPr>
              <w:t>Title</w:t>
            </w:r>
          </w:p>
        </w:tc>
      </w:tr>
      <w:tr>
        <w:trPr>
          <w:trHeight w:val="20"/>
        </w:trPr>
        <w:tc>
          <w:tcPr>
            <w:tcW w:w="198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r>
      <w:tr>
        <w:trPr>
          <w:trHeight w:val="331"/>
        </w:trPr>
        <w:tc>
          <w:tcPr>
            <w:tcW w:w="3780" w:type="dxa"/>
            <w:vAlign w:val="bottom"/>
            <w:tcBorders>
              <w:bottom w:val="single" w:sz="8" w:color="auto"/>
            </w:tcBorders>
            <w:gridSpan w:val="3"/>
          </w:tcPr>
          <w:p>
            <w:pPr>
              <w:jc w:val="center"/>
              <w:ind w:left="589"/>
              <w:spacing w:after="0"/>
              <w:rPr>
                <w:sz w:val="20"/>
                <w:szCs w:val="20"/>
                <w:color w:val="auto"/>
              </w:rPr>
            </w:pPr>
            <w:r>
              <w:rPr>
                <w:rFonts w:ascii="Times New Roman" w:cs="Times New Roman" w:eastAsia="Times New Roman" w:hAnsi="Times New Roman"/>
                <w:sz w:val="14"/>
                <w:szCs w:val="14"/>
                <w:color w:val="auto"/>
              </w:rPr>
              <w:t>/s/ Jaime Muguiro Domínguez</w:t>
            </w:r>
          </w:p>
        </w:tc>
        <w:tc>
          <w:tcPr>
            <w:tcW w:w="660" w:type="dxa"/>
            <w:vAlign w:val="bottom"/>
            <w:tcBorders>
              <w:bottom w:val="single" w:sz="8" w:color="auto"/>
            </w:tcBorders>
          </w:tcPr>
          <w:p>
            <w:pPr>
              <w:spacing w:after="0"/>
              <w:rPr>
                <w:sz w:val="24"/>
                <w:szCs w:val="24"/>
                <w:color w:val="auto"/>
              </w:rPr>
            </w:pPr>
          </w:p>
        </w:tc>
        <w:tc>
          <w:tcPr>
            <w:tcW w:w="3960" w:type="dxa"/>
            <w:vAlign w:val="bottom"/>
            <w:gridSpan w:val="3"/>
          </w:tcPr>
          <w:p>
            <w:pPr>
              <w:ind w:left="180"/>
              <w:spacing w:after="0"/>
              <w:rPr>
                <w:sz w:val="20"/>
                <w:szCs w:val="20"/>
                <w:color w:val="auto"/>
              </w:rPr>
            </w:pPr>
            <w:r>
              <w:rPr>
                <w:rFonts w:ascii="Times New Roman" w:cs="Times New Roman" w:eastAsia="Times New Roman" w:hAnsi="Times New Roman"/>
                <w:sz w:val="14"/>
                <w:szCs w:val="14"/>
                <w:color w:val="auto"/>
              </w:rPr>
              <w:t>Chief Executive Officer (principal executive officer)</w:t>
            </w:r>
          </w:p>
        </w:tc>
      </w:tr>
      <w:tr>
        <w:trPr>
          <w:trHeight w:val="175"/>
        </w:trPr>
        <w:tc>
          <w:tcPr>
            <w:tcW w:w="3780" w:type="dxa"/>
            <w:vAlign w:val="bottom"/>
            <w:gridSpan w:val="3"/>
          </w:tcPr>
          <w:p>
            <w:pPr>
              <w:jc w:val="center"/>
              <w:ind w:left="589"/>
              <w:spacing w:after="0"/>
              <w:rPr>
                <w:sz w:val="20"/>
                <w:szCs w:val="20"/>
                <w:color w:val="auto"/>
              </w:rPr>
            </w:pPr>
            <w:r>
              <w:rPr>
                <w:rFonts w:ascii="Times New Roman" w:cs="Times New Roman" w:eastAsia="Times New Roman" w:hAnsi="Times New Roman"/>
                <w:sz w:val="14"/>
                <w:szCs w:val="14"/>
                <w:color w:val="auto"/>
              </w:rPr>
              <w:t>Jaime Muguiro Domínguez</w:t>
            </w:r>
          </w:p>
        </w:tc>
        <w:tc>
          <w:tcPr>
            <w:tcW w:w="66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40" w:type="dxa"/>
            <w:vAlign w:val="bottom"/>
          </w:tcPr>
          <w:p>
            <w:pPr>
              <w:spacing w:after="0"/>
              <w:rPr>
                <w:sz w:val="15"/>
                <w:szCs w:val="15"/>
                <w:color w:val="auto"/>
              </w:rPr>
            </w:pPr>
          </w:p>
        </w:tc>
      </w:tr>
      <w:tr>
        <w:trPr>
          <w:trHeight w:val="336"/>
        </w:trPr>
        <w:tc>
          <w:tcPr>
            <w:tcW w:w="3780" w:type="dxa"/>
            <w:vAlign w:val="bottom"/>
            <w:tcBorders>
              <w:bottom w:val="single" w:sz="8" w:color="auto"/>
            </w:tcBorders>
            <w:gridSpan w:val="3"/>
          </w:tcPr>
          <w:p>
            <w:pPr>
              <w:jc w:val="center"/>
              <w:ind w:left="589"/>
              <w:spacing w:after="0"/>
              <w:rPr>
                <w:sz w:val="20"/>
                <w:szCs w:val="20"/>
                <w:color w:val="auto"/>
              </w:rPr>
            </w:pPr>
            <w:r>
              <w:rPr>
                <w:rFonts w:ascii="Times New Roman" w:cs="Times New Roman" w:eastAsia="Times New Roman" w:hAnsi="Times New Roman"/>
                <w:sz w:val="14"/>
                <w:szCs w:val="14"/>
                <w:color w:val="auto"/>
                <w:w w:val="99"/>
              </w:rPr>
              <w:t>/s/ Maher Al-Haffar</w:t>
            </w:r>
          </w:p>
        </w:tc>
        <w:tc>
          <w:tcPr>
            <w:tcW w:w="660" w:type="dxa"/>
            <w:vAlign w:val="bottom"/>
            <w:tcBorders>
              <w:bottom w:val="single" w:sz="8" w:color="auto"/>
            </w:tcBorders>
          </w:tcPr>
          <w:p>
            <w:pPr>
              <w:spacing w:after="0"/>
              <w:rPr>
                <w:sz w:val="24"/>
                <w:szCs w:val="24"/>
                <w:color w:val="auto"/>
              </w:rPr>
            </w:pPr>
          </w:p>
        </w:tc>
        <w:tc>
          <w:tcPr>
            <w:tcW w:w="3960" w:type="dxa"/>
            <w:vAlign w:val="bottom"/>
            <w:gridSpan w:val="3"/>
          </w:tcPr>
          <w:p>
            <w:pPr>
              <w:ind w:left="180"/>
              <w:spacing w:after="0"/>
              <w:rPr>
                <w:sz w:val="20"/>
                <w:szCs w:val="20"/>
                <w:color w:val="auto"/>
              </w:rPr>
            </w:pPr>
            <w:r>
              <w:rPr>
                <w:rFonts w:ascii="Times New Roman" w:cs="Times New Roman" w:eastAsia="Times New Roman" w:hAnsi="Times New Roman"/>
                <w:sz w:val="14"/>
                <w:szCs w:val="14"/>
                <w:color w:val="auto"/>
              </w:rPr>
              <w:t>Executive Vice President of Finance and Administration and Chief</w:t>
            </w:r>
          </w:p>
        </w:tc>
      </w:tr>
      <w:tr>
        <w:trPr>
          <w:trHeight w:val="176"/>
        </w:trPr>
        <w:tc>
          <w:tcPr>
            <w:tcW w:w="3780" w:type="dxa"/>
            <w:vAlign w:val="bottom"/>
            <w:gridSpan w:val="3"/>
          </w:tcPr>
          <w:p>
            <w:pPr>
              <w:jc w:val="center"/>
              <w:ind w:left="589"/>
              <w:spacing w:after="0"/>
              <w:rPr>
                <w:sz w:val="20"/>
                <w:szCs w:val="20"/>
                <w:color w:val="auto"/>
              </w:rPr>
            </w:pPr>
            <w:r>
              <w:rPr>
                <w:rFonts w:ascii="Times New Roman" w:cs="Times New Roman" w:eastAsia="Times New Roman" w:hAnsi="Times New Roman"/>
                <w:sz w:val="14"/>
                <w:szCs w:val="14"/>
                <w:color w:val="auto"/>
              </w:rPr>
              <w:t>Maher Al-Haffar</w:t>
            </w:r>
          </w:p>
        </w:tc>
        <w:tc>
          <w:tcPr>
            <w:tcW w:w="660" w:type="dxa"/>
            <w:vAlign w:val="bottom"/>
          </w:tcPr>
          <w:p>
            <w:pPr>
              <w:spacing w:after="0"/>
              <w:rPr>
                <w:sz w:val="15"/>
                <w:szCs w:val="15"/>
                <w:color w:val="auto"/>
              </w:rPr>
            </w:pPr>
          </w:p>
        </w:tc>
        <w:tc>
          <w:tcPr>
            <w:tcW w:w="3960" w:type="dxa"/>
            <w:vAlign w:val="bottom"/>
            <w:gridSpan w:val="3"/>
          </w:tcPr>
          <w:p>
            <w:pPr>
              <w:ind w:left="180"/>
              <w:spacing w:after="0"/>
              <w:rPr>
                <w:sz w:val="20"/>
                <w:szCs w:val="20"/>
                <w:color w:val="auto"/>
              </w:rPr>
            </w:pPr>
            <w:r>
              <w:rPr>
                <w:rFonts w:ascii="Times New Roman" w:cs="Times New Roman" w:eastAsia="Times New Roman" w:hAnsi="Times New Roman"/>
                <w:sz w:val="14"/>
                <w:szCs w:val="14"/>
                <w:color w:val="auto"/>
              </w:rPr>
              <w:t>Financial Officer (principal financial and accounting officer)</w:t>
            </w:r>
          </w:p>
        </w:tc>
      </w:tr>
      <w:tr>
        <w:trPr>
          <w:trHeight w:val="337"/>
        </w:trPr>
        <w:tc>
          <w:tcPr>
            <w:tcW w:w="3780" w:type="dxa"/>
            <w:vAlign w:val="bottom"/>
            <w:tcBorders>
              <w:bottom w:val="single" w:sz="8" w:color="auto"/>
            </w:tcBorders>
            <w:gridSpan w:val="3"/>
          </w:tcPr>
          <w:p>
            <w:pPr>
              <w:jc w:val="center"/>
              <w:ind w:left="609"/>
              <w:spacing w:after="0"/>
              <w:rPr>
                <w:sz w:val="20"/>
                <w:szCs w:val="20"/>
                <w:color w:val="auto"/>
              </w:rPr>
            </w:pPr>
            <w:r>
              <w:rPr>
                <w:rFonts w:ascii="Times New Roman" w:cs="Times New Roman" w:eastAsia="Times New Roman" w:hAnsi="Times New Roman"/>
                <w:sz w:val="14"/>
                <w:szCs w:val="14"/>
                <w:color w:val="auto"/>
              </w:rPr>
              <w:t>/s/ Rogelio Zambrano Lozano</w:t>
            </w:r>
          </w:p>
        </w:tc>
        <w:tc>
          <w:tcPr>
            <w:tcW w:w="660" w:type="dxa"/>
            <w:vAlign w:val="bottom"/>
            <w:tcBorders>
              <w:bottom w:val="single" w:sz="8" w:color="auto"/>
            </w:tcBorders>
          </w:tcPr>
          <w:p>
            <w:pPr>
              <w:spacing w:after="0"/>
              <w:rPr>
                <w:sz w:val="24"/>
                <w:szCs w:val="24"/>
                <w:color w:val="auto"/>
              </w:rPr>
            </w:pPr>
          </w:p>
        </w:tc>
        <w:tc>
          <w:tcPr>
            <w:tcW w:w="3960" w:type="dxa"/>
            <w:vAlign w:val="bottom"/>
            <w:gridSpan w:val="3"/>
          </w:tcPr>
          <w:p>
            <w:pPr>
              <w:ind w:left="180"/>
              <w:spacing w:after="0"/>
              <w:rPr>
                <w:sz w:val="20"/>
                <w:szCs w:val="20"/>
                <w:color w:val="auto"/>
              </w:rPr>
            </w:pPr>
            <w:r>
              <w:rPr>
                <w:rFonts w:ascii="Times New Roman" w:cs="Times New Roman" w:eastAsia="Times New Roman" w:hAnsi="Times New Roman"/>
                <w:sz w:val="14"/>
                <w:szCs w:val="14"/>
                <w:color w:val="auto"/>
              </w:rPr>
              <w:t>Chairman of the Board of Directors</w:t>
            </w:r>
          </w:p>
        </w:tc>
      </w:tr>
      <w:tr>
        <w:trPr>
          <w:trHeight w:val="175"/>
        </w:trPr>
        <w:tc>
          <w:tcPr>
            <w:tcW w:w="3780" w:type="dxa"/>
            <w:vAlign w:val="bottom"/>
            <w:gridSpan w:val="3"/>
          </w:tcPr>
          <w:p>
            <w:pPr>
              <w:jc w:val="center"/>
              <w:ind w:left="589"/>
              <w:spacing w:after="0"/>
              <w:rPr>
                <w:sz w:val="20"/>
                <w:szCs w:val="20"/>
                <w:color w:val="auto"/>
              </w:rPr>
            </w:pPr>
            <w:r>
              <w:rPr>
                <w:rFonts w:ascii="Times New Roman" w:cs="Times New Roman" w:eastAsia="Times New Roman" w:hAnsi="Times New Roman"/>
                <w:sz w:val="14"/>
                <w:szCs w:val="14"/>
                <w:color w:val="auto"/>
              </w:rPr>
              <w:t>Rogelio Zambrano Lozano</w:t>
            </w:r>
          </w:p>
        </w:tc>
        <w:tc>
          <w:tcPr>
            <w:tcW w:w="66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40" w:type="dxa"/>
            <w:vAlign w:val="bottom"/>
          </w:tcPr>
          <w:p>
            <w:pPr>
              <w:spacing w:after="0"/>
              <w:rPr>
                <w:sz w:val="15"/>
                <w:szCs w:val="15"/>
                <w:color w:val="auto"/>
              </w:rPr>
            </w:pPr>
          </w:p>
        </w:tc>
      </w:tr>
      <w:tr>
        <w:trPr>
          <w:trHeight w:val="337"/>
        </w:trPr>
        <w:tc>
          <w:tcPr>
            <w:tcW w:w="3780" w:type="dxa"/>
            <w:vAlign w:val="bottom"/>
            <w:tcBorders>
              <w:bottom w:val="single" w:sz="8" w:color="auto"/>
            </w:tcBorders>
            <w:gridSpan w:val="3"/>
          </w:tcPr>
          <w:p>
            <w:pPr>
              <w:jc w:val="center"/>
              <w:ind w:left="589"/>
              <w:spacing w:after="0"/>
              <w:rPr>
                <w:sz w:val="20"/>
                <w:szCs w:val="20"/>
                <w:color w:val="auto"/>
              </w:rPr>
            </w:pPr>
            <w:r>
              <w:rPr>
                <w:rFonts w:ascii="Times New Roman" w:cs="Times New Roman" w:eastAsia="Times New Roman" w:hAnsi="Times New Roman"/>
                <w:sz w:val="14"/>
                <w:szCs w:val="14"/>
                <w:color w:val="auto"/>
              </w:rPr>
              <w:t>/s/ Armando J. García Segovia</w:t>
            </w:r>
          </w:p>
        </w:tc>
        <w:tc>
          <w:tcPr>
            <w:tcW w:w="660" w:type="dxa"/>
            <w:vAlign w:val="bottom"/>
            <w:tcBorders>
              <w:bottom w:val="single" w:sz="8" w:color="auto"/>
            </w:tcBorders>
          </w:tcPr>
          <w:p>
            <w:pPr>
              <w:spacing w:after="0"/>
              <w:rPr>
                <w:sz w:val="24"/>
                <w:szCs w:val="24"/>
                <w:color w:val="auto"/>
              </w:rPr>
            </w:pPr>
          </w:p>
        </w:tc>
        <w:tc>
          <w:tcPr>
            <w:tcW w:w="3960" w:type="dxa"/>
            <w:vAlign w:val="bottom"/>
            <w:gridSpan w:val="3"/>
          </w:tcPr>
          <w:p>
            <w:pPr>
              <w:ind w:left="180"/>
              <w:spacing w:after="0"/>
              <w:rPr>
                <w:sz w:val="20"/>
                <w:szCs w:val="20"/>
                <w:color w:val="auto"/>
              </w:rPr>
            </w:pPr>
            <w:r>
              <w:rPr>
                <w:rFonts w:ascii="Times New Roman" w:cs="Times New Roman" w:eastAsia="Times New Roman" w:hAnsi="Times New Roman"/>
                <w:sz w:val="14"/>
                <w:szCs w:val="14"/>
                <w:color w:val="auto"/>
              </w:rPr>
              <w:t>Director</w:t>
            </w:r>
          </w:p>
        </w:tc>
      </w:tr>
      <w:tr>
        <w:trPr>
          <w:trHeight w:val="175"/>
        </w:trPr>
        <w:tc>
          <w:tcPr>
            <w:tcW w:w="3780" w:type="dxa"/>
            <w:vAlign w:val="bottom"/>
            <w:gridSpan w:val="3"/>
          </w:tcPr>
          <w:p>
            <w:pPr>
              <w:jc w:val="center"/>
              <w:ind w:left="589"/>
              <w:spacing w:after="0"/>
              <w:rPr>
                <w:sz w:val="20"/>
                <w:szCs w:val="20"/>
                <w:color w:val="auto"/>
              </w:rPr>
            </w:pPr>
            <w:r>
              <w:rPr>
                <w:rFonts w:ascii="Times New Roman" w:cs="Times New Roman" w:eastAsia="Times New Roman" w:hAnsi="Times New Roman"/>
                <w:sz w:val="14"/>
                <w:szCs w:val="14"/>
                <w:color w:val="auto"/>
              </w:rPr>
              <w:t>Armando J. García Segovia</w:t>
            </w:r>
          </w:p>
        </w:tc>
        <w:tc>
          <w:tcPr>
            <w:tcW w:w="66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40" w:type="dxa"/>
            <w:vAlign w:val="bottom"/>
          </w:tcPr>
          <w:p>
            <w:pPr>
              <w:spacing w:after="0"/>
              <w:rPr>
                <w:sz w:val="15"/>
                <w:szCs w:val="15"/>
                <w:color w:val="auto"/>
              </w:rPr>
            </w:pPr>
          </w:p>
        </w:tc>
      </w:tr>
      <w:tr>
        <w:trPr>
          <w:trHeight w:val="337"/>
        </w:trPr>
        <w:tc>
          <w:tcPr>
            <w:tcW w:w="3780" w:type="dxa"/>
            <w:vAlign w:val="bottom"/>
            <w:tcBorders>
              <w:bottom w:val="single" w:sz="8" w:color="auto"/>
            </w:tcBorders>
            <w:gridSpan w:val="3"/>
          </w:tcPr>
          <w:p>
            <w:pPr>
              <w:jc w:val="center"/>
              <w:ind w:left="589"/>
              <w:spacing w:after="0"/>
              <w:rPr>
                <w:sz w:val="20"/>
                <w:szCs w:val="20"/>
                <w:color w:val="auto"/>
              </w:rPr>
            </w:pPr>
            <w:r>
              <w:rPr>
                <w:rFonts w:ascii="Times New Roman" w:cs="Times New Roman" w:eastAsia="Times New Roman" w:hAnsi="Times New Roman"/>
                <w:sz w:val="14"/>
                <w:szCs w:val="14"/>
                <w:color w:val="auto"/>
              </w:rPr>
              <w:t>/s/ Francisco Javier Fernández Carbajal</w:t>
            </w:r>
          </w:p>
        </w:tc>
        <w:tc>
          <w:tcPr>
            <w:tcW w:w="660" w:type="dxa"/>
            <w:vAlign w:val="bottom"/>
            <w:tcBorders>
              <w:bottom w:val="single" w:sz="8" w:color="auto"/>
            </w:tcBorders>
          </w:tcPr>
          <w:p>
            <w:pPr>
              <w:spacing w:after="0"/>
              <w:rPr>
                <w:sz w:val="24"/>
                <w:szCs w:val="24"/>
                <w:color w:val="auto"/>
              </w:rPr>
            </w:pPr>
          </w:p>
        </w:tc>
        <w:tc>
          <w:tcPr>
            <w:tcW w:w="3960" w:type="dxa"/>
            <w:vAlign w:val="bottom"/>
            <w:gridSpan w:val="3"/>
          </w:tcPr>
          <w:p>
            <w:pPr>
              <w:ind w:left="180"/>
              <w:spacing w:after="0"/>
              <w:rPr>
                <w:sz w:val="20"/>
                <w:szCs w:val="20"/>
                <w:color w:val="auto"/>
              </w:rPr>
            </w:pPr>
            <w:r>
              <w:rPr>
                <w:rFonts w:ascii="Times New Roman" w:cs="Times New Roman" w:eastAsia="Times New Roman" w:hAnsi="Times New Roman"/>
                <w:sz w:val="14"/>
                <w:szCs w:val="14"/>
                <w:color w:val="auto"/>
              </w:rPr>
              <w:t>Director</w:t>
            </w:r>
          </w:p>
        </w:tc>
      </w:tr>
      <w:tr>
        <w:trPr>
          <w:trHeight w:val="175"/>
        </w:trPr>
        <w:tc>
          <w:tcPr>
            <w:tcW w:w="3780" w:type="dxa"/>
            <w:vAlign w:val="bottom"/>
            <w:gridSpan w:val="3"/>
          </w:tcPr>
          <w:p>
            <w:pPr>
              <w:jc w:val="center"/>
              <w:ind w:left="589"/>
              <w:spacing w:after="0"/>
              <w:rPr>
                <w:sz w:val="20"/>
                <w:szCs w:val="20"/>
                <w:color w:val="auto"/>
              </w:rPr>
            </w:pPr>
            <w:r>
              <w:rPr>
                <w:rFonts w:ascii="Times New Roman" w:cs="Times New Roman" w:eastAsia="Times New Roman" w:hAnsi="Times New Roman"/>
                <w:sz w:val="14"/>
                <w:szCs w:val="14"/>
                <w:color w:val="auto"/>
              </w:rPr>
              <w:t>Francisco Javier Fernández Carbajal</w:t>
            </w:r>
          </w:p>
        </w:tc>
        <w:tc>
          <w:tcPr>
            <w:tcW w:w="66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40" w:type="dxa"/>
            <w:vAlign w:val="bottom"/>
          </w:tcPr>
          <w:p>
            <w:pPr>
              <w:spacing w:after="0"/>
              <w:rPr>
                <w:sz w:val="15"/>
                <w:szCs w:val="15"/>
                <w:color w:val="auto"/>
              </w:rPr>
            </w:pPr>
          </w:p>
        </w:tc>
      </w:tr>
      <w:tr>
        <w:trPr>
          <w:trHeight w:val="337"/>
        </w:trPr>
        <w:tc>
          <w:tcPr>
            <w:tcW w:w="3780" w:type="dxa"/>
            <w:vAlign w:val="bottom"/>
            <w:tcBorders>
              <w:bottom w:val="single" w:sz="8" w:color="auto"/>
            </w:tcBorders>
            <w:gridSpan w:val="3"/>
          </w:tcPr>
          <w:p>
            <w:pPr>
              <w:jc w:val="center"/>
              <w:ind w:left="589"/>
              <w:spacing w:after="0"/>
              <w:rPr>
                <w:sz w:val="20"/>
                <w:szCs w:val="20"/>
                <w:color w:val="auto"/>
              </w:rPr>
            </w:pPr>
            <w:r>
              <w:rPr>
                <w:rFonts w:ascii="Times New Roman" w:cs="Times New Roman" w:eastAsia="Times New Roman" w:hAnsi="Times New Roman"/>
                <w:sz w:val="14"/>
                <w:szCs w:val="14"/>
                <w:color w:val="auto"/>
              </w:rPr>
              <w:t>/s/ David Manuel Martínez Guzmán</w:t>
            </w:r>
          </w:p>
        </w:tc>
        <w:tc>
          <w:tcPr>
            <w:tcW w:w="660" w:type="dxa"/>
            <w:vAlign w:val="bottom"/>
            <w:tcBorders>
              <w:bottom w:val="single" w:sz="8" w:color="auto"/>
            </w:tcBorders>
          </w:tcPr>
          <w:p>
            <w:pPr>
              <w:spacing w:after="0"/>
              <w:rPr>
                <w:sz w:val="24"/>
                <w:szCs w:val="24"/>
                <w:color w:val="auto"/>
              </w:rPr>
            </w:pPr>
          </w:p>
        </w:tc>
        <w:tc>
          <w:tcPr>
            <w:tcW w:w="3960" w:type="dxa"/>
            <w:vAlign w:val="bottom"/>
            <w:gridSpan w:val="3"/>
          </w:tcPr>
          <w:p>
            <w:pPr>
              <w:ind w:left="180"/>
              <w:spacing w:after="0"/>
              <w:rPr>
                <w:sz w:val="20"/>
                <w:szCs w:val="20"/>
                <w:color w:val="auto"/>
              </w:rPr>
            </w:pPr>
            <w:r>
              <w:rPr>
                <w:rFonts w:ascii="Times New Roman" w:cs="Times New Roman" w:eastAsia="Times New Roman" w:hAnsi="Times New Roman"/>
                <w:sz w:val="14"/>
                <w:szCs w:val="14"/>
                <w:color w:val="auto"/>
              </w:rPr>
              <w:t>Director</w:t>
            </w:r>
          </w:p>
        </w:tc>
      </w:tr>
      <w:tr>
        <w:trPr>
          <w:trHeight w:val="175"/>
        </w:trPr>
        <w:tc>
          <w:tcPr>
            <w:tcW w:w="3780" w:type="dxa"/>
            <w:vAlign w:val="bottom"/>
            <w:gridSpan w:val="3"/>
          </w:tcPr>
          <w:p>
            <w:pPr>
              <w:jc w:val="center"/>
              <w:ind w:left="589"/>
              <w:spacing w:after="0"/>
              <w:rPr>
                <w:sz w:val="20"/>
                <w:szCs w:val="20"/>
                <w:color w:val="auto"/>
              </w:rPr>
            </w:pPr>
            <w:r>
              <w:rPr>
                <w:rFonts w:ascii="Times New Roman" w:cs="Times New Roman" w:eastAsia="Times New Roman" w:hAnsi="Times New Roman"/>
                <w:sz w:val="14"/>
                <w:szCs w:val="14"/>
                <w:color w:val="auto"/>
              </w:rPr>
              <w:t>David Manuel Martínez Guzmán</w:t>
            </w:r>
          </w:p>
        </w:tc>
        <w:tc>
          <w:tcPr>
            <w:tcW w:w="66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40" w:type="dxa"/>
            <w:vAlign w:val="bottom"/>
          </w:tcPr>
          <w:p>
            <w:pPr>
              <w:spacing w:after="0"/>
              <w:rPr>
                <w:sz w:val="15"/>
                <w:szCs w:val="15"/>
                <w:color w:val="auto"/>
              </w:rPr>
            </w:pPr>
          </w:p>
        </w:tc>
      </w:tr>
      <w:tr>
        <w:trPr>
          <w:trHeight w:val="283"/>
        </w:trPr>
        <w:tc>
          <w:tcPr>
            <w:tcW w:w="19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4620" w:type="dxa"/>
            <w:vAlign w:val="bottom"/>
            <w:gridSpan w:val="4"/>
          </w:tcPr>
          <w:p>
            <w:pPr>
              <w:ind w:left="460"/>
              <w:spacing w:after="0"/>
              <w:rPr>
                <w:sz w:val="20"/>
                <w:szCs w:val="20"/>
                <w:color w:val="auto"/>
              </w:rPr>
            </w:pPr>
            <w:r>
              <w:rPr>
                <w:rFonts w:ascii="Times New Roman" w:cs="Times New Roman" w:eastAsia="Times New Roman" w:hAnsi="Times New Roman"/>
                <w:sz w:val="14"/>
                <w:szCs w:val="14"/>
                <w:color w:val="auto"/>
              </w:rPr>
              <w:t>II-5</w:t>
            </w:r>
          </w:p>
        </w:tc>
      </w:tr>
    </w:tbl>
    <w:p>
      <w:pPr>
        <w:sectPr>
          <w:pgSz w:w="11900" w:h="16838" w:orient="portrait"/>
          <w:cols w:equalWidth="0" w:num="1">
            <w:col w:w="9019"/>
          </w:cols>
          <w:pgMar w:left="1440" w:top="240" w:right="1440" w:bottom="1440" w:gutter="0" w:footer="0" w:header="0"/>
        </w:sectPr>
      </w:pPr>
    </w:p>
    <w:bookmarkStart w:id="24" w:name="page25"/>
    <w:bookmarkEnd w:id="24"/>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8">
                      <a:extLst>
                        <a:ext uri="{28A0092B-C50C-407E-A947-70E740481C1C}"/>
                      </a:extLst>
                    </a:blip>
                    <a:srcRect/>
                    <a:stretch>
                      <a:fillRect/>
                    </a:stretch>
                  </pic:blipFill>
                  <pic:spPr bwMode="auto">
                    <a:xfrm>
                      <a:off x="0" y="0"/>
                      <a:ext cx="7200265" cy="33020"/>
                    </a:xfrm>
                    <a:prstGeom prst="rect">
                      <a:avLst/>
                    </a:prstGeom>
                    <a:noFill/>
                  </pic:spPr>
                </pic:pic>
              </a:graphicData>
            </a:graphic>
          </wp:anchor>
        </w:drawing>
      </w:r>
    </w:p>
    <w:tbl>
      <w:tblPr>
        <w:tblLayout w:type="fixed"/>
        <w:tblInd w:w="160" w:type="dxa"/>
        <w:tblCellMar>
          <w:top w:w="0" w:type="dxa"/>
          <w:left w:w="0" w:type="dxa"/>
          <w:bottom w:w="0" w:type="dxa"/>
          <w:right w:w="0" w:type="dxa"/>
        </w:tblCellMar>
      </w:tblPr>
      <w:tr>
        <w:trPr>
          <w:trHeight w:val="136"/>
        </w:trPr>
        <w:tc>
          <w:tcPr>
            <w:tcW w:w="1980" w:type="dxa"/>
            <w:vAlign w:val="bottom"/>
          </w:tcPr>
          <w:p>
            <w:pPr>
              <w:spacing w:after="0"/>
              <w:rPr>
                <w:sz w:val="11"/>
                <w:szCs w:val="11"/>
                <w:color w:val="auto"/>
              </w:rPr>
            </w:pPr>
          </w:p>
        </w:tc>
        <w:tc>
          <w:tcPr>
            <w:tcW w:w="48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Signature</w:t>
            </w:r>
          </w:p>
        </w:tc>
        <w:tc>
          <w:tcPr>
            <w:tcW w:w="1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320" w:type="dxa"/>
            <w:vAlign w:val="bottom"/>
            <w:gridSpan w:val="2"/>
          </w:tcPr>
          <w:p>
            <w:pPr>
              <w:ind w:left="2100"/>
              <w:spacing w:after="0"/>
              <w:rPr>
                <w:sz w:val="20"/>
                <w:szCs w:val="20"/>
                <w:color w:val="auto"/>
              </w:rPr>
            </w:pPr>
            <w:r>
              <w:rPr>
                <w:rFonts w:ascii="Times New Roman" w:cs="Times New Roman" w:eastAsia="Times New Roman" w:hAnsi="Times New Roman"/>
                <w:sz w:val="11"/>
                <w:szCs w:val="11"/>
                <w:b w:val="1"/>
                <w:bCs w:val="1"/>
                <w:color w:val="auto"/>
                <w:w w:val="90"/>
              </w:rPr>
              <w:t>Title</w:t>
            </w:r>
          </w:p>
        </w:tc>
      </w:tr>
      <w:tr>
        <w:trPr>
          <w:trHeight w:val="20"/>
        </w:trPr>
        <w:tc>
          <w:tcPr>
            <w:tcW w:w="198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r>
      <w:tr>
        <w:trPr>
          <w:trHeight w:val="331"/>
        </w:trPr>
        <w:tc>
          <w:tcPr>
            <w:tcW w:w="3780" w:type="dxa"/>
            <w:vAlign w:val="bottom"/>
            <w:tcBorders>
              <w:bottom w:val="single" w:sz="8" w:color="auto"/>
            </w:tcBorders>
            <w:gridSpan w:val="3"/>
          </w:tcPr>
          <w:p>
            <w:pPr>
              <w:jc w:val="center"/>
              <w:ind w:left="589"/>
              <w:spacing w:after="0"/>
              <w:rPr>
                <w:sz w:val="20"/>
                <w:szCs w:val="20"/>
                <w:color w:val="auto"/>
              </w:rPr>
            </w:pPr>
            <w:r>
              <w:rPr>
                <w:rFonts w:ascii="Times New Roman" w:cs="Times New Roman" w:eastAsia="Times New Roman" w:hAnsi="Times New Roman"/>
                <w:sz w:val="14"/>
                <w:szCs w:val="14"/>
                <w:color w:val="auto"/>
              </w:rPr>
              <w:t>/s/ Everardo Elizondo Almaguer</w:t>
            </w:r>
          </w:p>
        </w:tc>
        <w:tc>
          <w:tcPr>
            <w:tcW w:w="660" w:type="dxa"/>
            <w:vAlign w:val="bottom"/>
            <w:tcBorders>
              <w:bottom w:val="single" w:sz="8" w:color="auto"/>
            </w:tcBorders>
          </w:tcPr>
          <w:p>
            <w:pPr>
              <w:spacing w:after="0"/>
              <w:rPr>
                <w:sz w:val="24"/>
                <w:szCs w:val="24"/>
                <w:color w:val="auto"/>
              </w:rPr>
            </w:pPr>
          </w:p>
        </w:tc>
        <w:tc>
          <w:tcPr>
            <w:tcW w:w="232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Director</w:t>
            </w:r>
          </w:p>
        </w:tc>
      </w:tr>
      <w:tr>
        <w:trPr>
          <w:trHeight w:val="175"/>
        </w:trPr>
        <w:tc>
          <w:tcPr>
            <w:tcW w:w="3780" w:type="dxa"/>
            <w:vAlign w:val="bottom"/>
            <w:gridSpan w:val="3"/>
          </w:tcPr>
          <w:p>
            <w:pPr>
              <w:jc w:val="center"/>
              <w:ind w:left="589"/>
              <w:spacing w:after="0"/>
              <w:rPr>
                <w:sz w:val="20"/>
                <w:szCs w:val="20"/>
                <w:color w:val="auto"/>
              </w:rPr>
            </w:pPr>
            <w:r>
              <w:rPr>
                <w:rFonts w:ascii="Times New Roman" w:cs="Times New Roman" w:eastAsia="Times New Roman" w:hAnsi="Times New Roman"/>
                <w:sz w:val="14"/>
                <w:szCs w:val="14"/>
                <w:color w:val="auto"/>
              </w:rPr>
              <w:t>Everardo Elizondo Almaguer</w:t>
            </w:r>
          </w:p>
        </w:tc>
        <w:tc>
          <w:tcPr>
            <w:tcW w:w="66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220" w:type="dxa"/>
            <w:vAlign w:val="bottom"/>
          </w:tcPr>
          <w:p>
            <w:pPr>
              <w:spacing w:after="0"/>
              <w:rPr>
                <w:sz w:val="15"/>
                <w:szCs w:val="15"/>
                <w:color w:val="auto"/>
              </w:rPr>
            </w:pPr>
          </w:p>
        </w:tc>
      </w:tr>
      <w:tr>
        <w:trPr>
          <w:trHeight w:val="337"/>
        </w:trPr>
        <w:tc>
          <w:tcPr>
            <w:tcW w:w="3780" w:type="dxa"/>
            <w:vAlign w:val="bottom"/>
            <w:tcBorders>
              <w:bottom w:val="single" w:sz="8" w:color="auto"/>
            </w:tcBorders>
            <w:gridSpan w:val="3"/>
          </w:tcPr>
          <w:p>
            <w:pPr>
              <w:jc w:val="center"/>
              <w:ind w:left="589"/>
              <w:spacing w:after="0"/>
              <w:rPr>
                <w:sz w:val="20"/>
                <w:szCs w:val="20"/>
                <w:color w:val="auto"/>
              </w:rPr>
            </w:pPr>
            <w:r>
              <w:rPr>
                <w:rFonts w:ascii="Times New Roman" w:cs="Times New Roman" w:eastAsia="Times New Roman" w:hAnsi="Times New Roman"/>
                <w:sz w:val="14"/>
                <w:szCs w:val="14"/>
                <w:color w:val="auto"/>
              </w:rPr>
              <w:t>/s/ Marcelo Zambrano Lozano</w:t>
            </w:r>
          </w:p>
        </w:tc>
        <w:tc>
          <w:tcPr>
            <w:tcW w:w="660" w:type="dxa"/>
            <w:vAlign w:val="bottom"/>
            <w:tcBorders>
              <w:bottom w:val="single" w:sz="8" w:color="auto"/>
            </w:tcBorders>
          </w:tcPr>
          <w:p>
            <w:pPr>
              <w:spacing w:after="0"/>
              <w:rPr>
                <w:sz w:val="24"/>
                <w:szCs w:val="24"/>
                <w:color w:val="auto"/>
              </w:rPr>
            </w:pPr>
          </w:p>
        </w:tc>
        <w:tc>
          <w:tcPr>
            <w:tcW w:w="232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Director</w:t>
            </w:r>
          </w:p>
        </w:tc>
      </w:tr>
      <w:tr>
        <w:trPr>
          <w:trHeight w:val="175"/>
        </w:trPr>
        <w:tc>
          <w:tcPr>
            <w:tcW w:w="3780" w:type="dxa"/>
            <w:vAlign w:val="bottom"/>
            <w:gridSpan w:val="3"/>
          </w:tcPr>
          <w:p>
            <w:pPr>
              <w:jc w:val="center"/>
              <w:ind w:left="589"/>
              <w:spacing w:after="0"/>
              <w:rPr>
                <w:sz w:val="20"/>
                <w:szCs w:val="20"/>
                <w:color w:val="auto"/>
              </w:rPr>
            </w:pPr>
            <w:r>
              <w:rPr>
                <w:rFonts w:ascii="Times New Roman" w:cs="Times New Roman" w:eastAsia="Times New Roman" w:hAnsi="Times New Roman"/>
                <w:sz w:val="14"/>
                <w:szCs w:val="14"/>
                <w:color w:val="auto"/>
              </w:rPr>
              <w:t>Marcelo Zambrano Lozano</w:t>
            </w:r>
          </w:p>
        </w:tc>
        <w:tc>
          <w:tcPr>
            <w:tcW w:w="66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220" w:type="dxa"/>
            <w:vAlign w:val="bottom"/>
          </w:tcPr>
          <w:p>
            <w:pPr>
              <w:spacing w:after="0"/>
              <w:rPr>
                <w:sz w:val="15"/>
                <w:szCs w:val="15"/>
                <w:color w:val="auto"/>
              </w:rPr>
            </w:pPr>
          </w:p>
        </w:tc>
      </w:tr>
      <w:tr>
        <w:trPr>
          <w:trHeight w:val="337"/>
        </w:trPr>
        <w:tc>
          <w:tcPr>
            <w:tcW w:w="3780" w:type="dxa"/>
            <w:vAlign w:val="bottom"/>
            <w:tcBorders>
              <w:bottom w:val="single" w:sz="8" w:color="auto"/>
            </w:tcBorders>
            <w:gridSpan w:val="3"/>
          </w:tcPr>
          <w:p>
            <w:pPr>
              <w:jc w:val="center"/>
              <w:ind w:left="589"/>
              <w:spacing w:after="0"/>
              <w:rPr>
                <w:sz w:val="20"/>
                <w:szCs w:val="20"/>
                <w:color w:val="auto"/>
              </w:rPr>
            </w:pPr>
            <w:r>
              <w:rPr>
                <w:rFonts w:ascii="Times New Roman" w:cs="Times New Roman" w:eastAsia="Times New Roman" w:hAnsi="Times New Roman"/>
                <w:sz w:val="14"/>
                <w:szCs w:val="14"/>
                <w:color w:val="auto"/>
              </w:rPr>
              <w:t>/s/ Ramiro Gerardo Villarreal Morales</w:t>
            </w:r>
          </w:p>
        </w:tc>
        <w:tc>
          <w:tcPr>
            <w:tcW w:w="660" w:type="dxa"/>
            <w:vAlign w:val="bottom"/>
            <w:tcBorders>
              <w:bottom w:val="single" w:sz="8" w:color="auto"/>
            </w:tcBorders>
          </w:tcPr>
          <w:p>
            <w:pPr>
              <w:spacing w:after="0"/>
              <w:rPr>
                <w:sz w:val="24"/>
                <w:szCs w:val="24"/>
                <w:color w:val="auto"/>
              </w:rPr>
            </w:pPr>
          </w:p>
        </w:tc>
        <w:tc>
          <w:tcPr>
            <w:tcW w:w="232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Director</w:t>
            </w:r>
          </w:p>
        </w:tc>
      </w:tr>
      <w:tr>
        <w:trPr>
          <w:trHeight w:val="175"/>
        </w:trPr>
        <w:tc>
          <w:tcPr>
            <w:tcW w:w="3780" w:type="dxa"/>
            <w:vAlign w:val="bottom"/>
            <w:gridSpan w:val="3"/>
          </w:tcPr>
          <w:p>
            <w:pPr>
              <w:jc w:val="center"/>
              <w:ind w:left="589"/>
              <w:spacing w:after="0"/>
              <w:rPr>
                <w:sz w:val="20"/>
                <w:szCs w:val="20"/>
                <w:color w:val="auto"/>
              </w:rPr>
            </w:pPr>
            <w:r>
              <w:rPr>
                <w:rFonts w:ascii="Times New Roman" w:cs="Times New Roman" w:eastAsia="Times New Roman" w:hAnsi="Times New Roman"/>
                <w:sz w:val="14"/>
                <w:szCs w:val="14"/>
                <w:color w:val="auto"/>
              </w:rPr>
              <w:t>Ramiro Gerardo Villarreal Morales</w:t>
            </w:r>
          </w:p>
        </w:tc>
        <w:tc>
          <w:tcPr>
            <w:tcW w:w="66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220" w:type="dxa"/>
            <w:vAlign w:val="bottom"/>
          </w:tcPr>
          <w:p>
            <w:pPr>
              <w:spacing w:after="0"/>
              <w:rPr>
                <w:sz w:val="15"/>
                <w:szCs w:val="15"/>
                <w:color w:val="auto"/>
              </w:rPr>
            </w:pPr>
          </w:p>
        </w:tc>
      </w:tr>
      <w:tr>
        <w:trPr>
          <w:trHeight w:val="337"/>
        </w:trPr>
        <w:tc>
          <w:tcPr>
            <w:tcW w:w="3780" w:type="dxa"/>
            <w:vAlign w:val="bottom"/>
            <w:tcBorders>
              <w:bottom w:val="single" w:sz="8" w:color="auto"/>
            </w:tcBorders>
            <w:gridSpan w:val="3"/>
          </w:tcPr>
          <w:p>
            <w:pPr>
              <w:jc w:val="center"/>
              <w:ind w:left="589"/>
              <w:spacing w:after="0"/>
              <w:rPr>
                <w:sz w:val="20"/>
                <w:szCs w:val="20"/>
                <w:color w:val="auto"/>
              </w:rPr>
            </w:pPr>
            <w:r>
              <w:rPr>
                <w:rFonts w:ascii="Times New Roman" w:cs="Times New Roman" w:eastAsia="Times New Roman" w:hAnsi="Times New Roman"/>
                <w:sz w:val="14"/>
                <w:szCs w:val="14"/>
                <w:color w:val="auto"/>
              </w:rPr>
              <w:t>/s/ Gabriel Jaramillo Sanint</w:t>
            </w:r>
          </w:p>
        </w:tc>
        <w:tc>
          <w:tcPr>
            <w:tcW w:w="660" w:type="dxa"/>
            <w:vAlign w:val="bottom"/>
            <w:tcBorders>
              <w:bottom w:val="single" w:sz="8" w:color="auto"/>
            </w:tcBorders>
          </w:tcPr>
          <w:p>
            <w:pPr>
              <w:spacing w:after="0"/>
              <w:rPr>
                <w:sz w:val="24"/>
                <w:szCs w:val="24"/>
                <w:color w:val="auto"/>
              </w:rPr>
            </w:pPr>
          </w:p>
        </w:tc>
        <w:tc>
          <w:tcPr>
            <w:tcW w:w="232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Director</w:t>
            </w:r>
          </w:p>
        </w:tc>
      </w:tr>
      <w:tr>
        <w:trPr>
          <w:trHeight w:val="175"/>
        </w:trPr>
        <w:tc>
          <w:tcPr>
            <w:tcW w:w="3780" w:type="dxa"/>
            <w:vAlign w:val="bottom"/>
            <w:gridSpan w:val="3"/>
          </w:tcPr>
          <w:p>
            <w:pPr>
              <w:jc w:val="center"/>
              <w:ind w:left="589"/>
              <w:spacing w:after="0"/>
              <w:rPr>
                <w:sz w:val="20"/>
                <w:szCs w:val="20"/>
                <w:color w:val="auto"/>
              </w:rPr>
            </w:pPr>
            <w:r>
              <w:rPr>
                <w:rFonts w:ascii="Times New Roman" w:cs="Times New Roman" w:eastAsia="Times New Roman" w:hAnsi="Times New Roman"/>
                <w:sz w:val="14"/>
                <w:szCs w:val="14"/>
                <w:color w:val="auto"/>
              </w:rPr>
              <w:t>Gabriel Jaramillo Sanint</w:t>
            </w:r>
          </w:p>
        </w:tc>
        <w:tc>
          <w:tcPr>
            <w:tcW w:w="66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220" w:type="dxa"/>
            <w:vAlign w:val="bottom"/>
          </w:tcPr>
          <w:p>
            <w:pPr>
              <w:spacing w:after="0"/>
              <w:rPr>
                <w:sz w:val="15"/>
                <w:szCs w:val="15"/>
                <w:color w:val="auto"/>
              </w:rPr>
            </w:pPr>
          </w:p>
        </w:tc>
      </w:tr>
      <w:tr>
        <w:trPr>
          <w:trHeight w:val="337"/>
        </w:trPr>
        <w:tc>
          <w:tcPr>
            <w:tcW w:w="3780" w:type="dxa"/>
            <w:vAlign w:val="bottom"/>
            <w:tcBorders>
              <w:bottom w:val="single" w:sz="8" w:color="auto"/>
            </w:tcBorders>
            <w:gridSpan w:val="3"/>
          </w:tcPr>
          <w:p>
            <w:pPr>
              <w:jc w:val="center"/>
              <w:ind w:left="589"/>
              <w:spacing w:after="0"/>
              <w:rPr>
                <w:sz w:val="20"/>
                <w:szCs w:val="20"/>
                <w:color w:val="auto"/>
              </w:rPr>
            </w:pPr>
            <w:r>
              <w:rPr>
                <w:rFonts w:ascii="Times New Roman" w:cs="Times New Roman" w:eastAsia="Times New Roman" w:hAnsi="Times New Roman"/>
                <w:sz w:val="14"/>
                <w:szCs w:val="14"/>
                <w:color w:val="auto"/>
              </w:rPr>
              <w:t>/s/ Isabel María Aguilera Navarro</w:t>
            </w:r>
          </w:p>
        </w:tc>
        <w:tc>
          <w:tcPr>
            <w:tcW w:w="660" w:type="dxa"/>
            <w:vAlign w:val="bottom"/>
            <w:tcBorders>
              <w:bottom w:val="single" w:sz="8" w:color="auto"/>
            </w:tcBorders>
          </w:tcPr>
          <w:p>
            <w:pPr>
              <w:spacing w:after="0"/>
              <w:rPr>
                <w:sz w:val="24"/>
                <w:szCs w:val="24"/>
                <w:color w:val="auto"/>
              </w:rPr>
            </w:pPr>
          </w:p>
        </w:tc>
        <w:tc>
          <w:tcPr>
            <w:tcW w:w="232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Director</w:t>
            </w:r>
          </w:p>
        </w:tc>
      </w:tr>
      <w:tr>
        <w:trPr>
          <w:trHeight w:val="175"/>
        </w:trPr>
        <w:tc>
          <w:tcPr>
            <w:tcW w:w="3780" w:type="dxa"/>
            <w:vAlign w:val="bottom"/>
            <w:gridSpan w:val="3"/>
          </w:tcPr>
          <w:p>
            <w:pPr>
              <w:jc w:val="center"/>
              <w:ind w:left="589"/>
              <w:spacing w:after="0"/>
              <w:rPr>
                <w:sz w:val="20"/>
                <w:szCs w:val="20"/>
                <w:color w:val="auto"/>
              </w:rPr>
            </w:pPr>
            <w:r>
              <w:rPr>
                <w:rFonts w:ascii="Times New Roman" w:cs="Times New Roman" w:eastAsia="Times New Roman" w:hAnsi="Times New Roman"/>
                <w:sz w:val="14"/>
                <w:szCs w:val="14"/>
                <w:color w:val="auto"/>
              </w:rPr>
              <w:t>Isabel María Aguilera Navarro</w:t>
            </w:r>
          </w:p>
        </w:tc>
        <w:tc>
          <w:tcPr>
            <w:tcW w:w="66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220" w:type="dxa"/>
            <w:vAlign w:val="bottom"/>
          </w:tcPr>
          <w:p>
            <w:pPr>
              <w:spacing w:after="0"/>
              <w:rPr>
                <w:sz w:val="15"/>
                <w:szCs w:val="15"/>
                <w:color w:val="auto"/>
              </w:rPr>
            </w:pPr>
          </w:p>
        </w:tc>
      </w:tr>
      <w:tr>
        <w:trPr>
          <w:trHeight w:val="337"/>
        </w:trPr>
        <w:tc>
          <w:tcPr>
            <w:tcW w:w="3780" w:type="dxa"/>
            <w:vAlign w:val="bottom"/>
            <w:tcBorders>
              <w:bottom w:val="single" w:sz="8" w:color="auto"/>
            </w:tcBorders>
            <w:gridSpan w:val="3"/>
          </w:tcPr>
          <w:p>
            <w:pPr>
              <w:jc w:val="center"/>
              <w:ind w:left="589"/>
              <w:spacing w:after="0"/>
              <w:rPr>
                <w:sz w:val="20"/>
                <w:szCs w:val="20"/>
                <w:color w:val="auto"/>
              </w:rPr>
            </w:pPr>
            <w:r>
              <w:rPr>
                <w:rFonts w:ascii="Times New Roman" w:cs="Times New Roman" w:eastAsia="Times New Roman" w:hAnsi="Times New Roman"/>
                <w:sz w:val="14"/>
                <w:szCs w:val="14"/>
                <w:color w:val="auto"/>
              </w:rPr>
              <w:t>/s/ María de Lourdes Melgar Palacios</w:t>
            </w:r>
          </w:p>
        </w:tc>
        <w:tc>
          <w:tcPr>
            <w:tcW w:w="660" w:type="dxa"/>
            <w:vAlign w:val="bottom"/>
            <w:tcBorders>
              <w:bottom w:val="single" w:sz="8" w:color="auto"/>
            </w:tcBorders>
          </w:tcPr>
          <w:p>
            <w:pPr>
              <w:spacing w:after="0"/>
              <w:rPr>
                <w:sz w:val="24"/>
                <w:szCs w:val="24"/>
                <w:color w:val="auto"/>
              </w:rPr>
            </w:pPr>
          </w:p>
        </w:tc>
        <w:tc>
          <w:tcPr>
            <w:tcW w:w="232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Director</w:t>
            </w:r>
          </w:p>
        </w:tc>
      </w:tr>
      <w:tr>
        <w:trPr>
          <w:trHeight w:val="175"/>
        </w:trPr>
        <w:tc>
          <w:tcPr>
            <w:tcW w:w="3780" w:type="dxa"/>
            <w:vAlign w:val="bottom"/>
            <w:gridSpan w:val="3"/>
          </w:tcPr>
          <w:p>
            <w:pPr>
              <w:jc w:val="center"/>
              <w:ind w:left="589"/>
              <w:spacing w:after="0"/>
              <w:rPr>
                <w:sz w:val="20"/>
                <w:szCs w:val="20"/>
                <w:color w:val="auto"/>
              </w:rPr>
            </w:pPr>
            <w:r>
              <w:rPr>
                <w:rFonts w:ascii="Times New Roman" w:cs="Times New Roman" w:eastAsia="Times New Roman" w:hAnsi="Times New Roman"/>
                <w:sz w:val="14"/>
                <w:szCs w:val="14"/>
                <w:color w:val="auto"/>
              </w:rPr>
              <w:t>María de Lourdes Melgar Palacios</w:t>
            </w:r>
          </w:p>
        </w:tc>
        <w:tc>
          <w:tcPr>
            <w:tcW w:w="66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220" w:type="dxa"/>
            <w:vAlign w:val="bottom"/>
          </w:tcPr>
          <w:p>
            <w:pPr>
              <w:spacing w:after="0"/>
              <w:rPr>
                <w:sz w:val="15"/>
                <w:szCs w:val="15"/>
                <w:color w:val="auto"/>
              </w:rPr>
            </w:pPr>
          </w:p>
        </w:tc>
      </w:tr>
      <w:tr>
        <w:trPr>
          <w:trHeight w:val="337"/>
        </w:trPr>
        <w:tc>
          <w:tcPr>
            <w:tcW w:w="3780" w:type="dxa"/>
            <w:vAlign w:val="bottom"/>
            <w:tcBorders>
              <w:bottom w:val="single" w:sz="8" w:color="auto"/>
            </w:tcBorders>
            <w:gridSpan w:val="3"/>
          </w:tcPr>
          <w:p>
            <w:pPr>
              <w:jc w:val="center"/>
              <w:ind w:left="589"/>
              <w:spacing w:after="0"/>
              <w:rPr>
                <w:sz w:val="20"/>
                <w:szCs w:val="20"/>
                <w:color w:val="auto"/>
              </w:rPr>
            </w:pPr>
            <w:r>
              <w:rPr>
                <w:rFonts w:ascii="Times New Roman" w:cs="Times New Roman" w:eastAsia="Times New Roman" w:hAnsi="Times New Roman"/>
                <w:sz w:val="14"/>
                <w:szCs w:val="14"/>
                <w:color w:val="auto"/>
              </w:rPr>
              <w:t>/s/ Isauro Alfaro Alvarez</w:t>
            </w:r>
          </w:p>
        </w:tc>
        <w:tc>
          <w:tcPr>
            <w:tcW w:w="660" w:type="dxa"/>
            <w:vAlign w:val="bottom"/>
            <w:tcBorders>
              <w:bottom w:val="single" w:sz="8" w:color="auto"/>
            </w:tcBorders>
          </w:tcPr>
          <w:p>
            <w:pPr>
              <w:spacing w:after="0"/>
              <w:rPr>
                <w:sz w:val="24"/>
                <w:szCs w:val="24"/>
                <w:color w:val="auto"/>
              </w:rPr>
            </w:pPr>
          </w:p>
        </w:tc>
        <w:tc>
          <w:tcPr>
            <w:tcW w:w="232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Director</w:t>
            </w:r>
          </w:p>
        </w:tc>
      </w:tr>
      <w:tr>
        <w:trPr>
          <w:trHeight w:val="175"/>
        </w:trPr>
        <w:tc>
          <w:tcPr>
            <w:tcW w:w="3780" w:type="dxa"/>
            <w:vAlign w:val="bottom"/>
            <w:gridSpan w:val="3"/>
          </w:tcPr>
          <w:p>
            <w:pPr>
              <w:jc w:val="center"/>
              <w:ind w:left="589"/>
              <w:spacing w:after="0"/>
              <w:rPr>
                <w:sz w:val="20"/>
                <w:szCs w:val="20"/>
                <w:color w:val="auto"/>
              </w:rPr>
            </w:pPr>
            <w:r>
              <w:rPr>
                <w:rFonts w:ascii="Times New Roman" w:cs="Times New Roman" w:eastAsia="Times New Roman" w:hAnsi="Times New Roman"/>
                <w:sz w:val="14"/>
                <w:szCs w:val="14"/>
                <w:color w:val="auto"/>
              </w:rPr>
              <w:t>Isauro Alfaro Alvarez</w:t>
            </w:r>
          </w:p>
        </w:tc>
        <w:tc>
          <w:tcPr>
            <w:tcW w:w="66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220" w:type="dxa"/>
            <w:vAlign w:val="bottom"/>
          </w:tcPr>
          <w:p>
            <w:pPr>
              <w:spacing w:after="0"/>
              <w:rPr>
                <w:sz w:val="15"/>
                <w:szCs w:val="15"/>
                <w:color w:val="auto"/>
              </w:rPr>
            </w:pPr>
          </w:p>
        </w:tc>
      </w:tr>
      <w:tr>
        <w:trPr>
          <w:trHeight w:val="337"/>
        </w:trPr>
        <w:tc>
          <w:tcPr>
            <w:tcW w:w="3780" w:type="dxa"/>
            <w:vAlign w:val="bottom"/>
            <w:tcBorders>
              <w:bottom w:val="single" w:sz="8" w:color="auto"/>
            </w:tcBorders>
            <w:gridSpan w:val="3"/>
          </w:tcPr>
          <w:p>
            <w:pPr>
              <w:jc w:val="center"/>
              <w:ind w:left="589"/>
              <w:spacing w:after="0"/>
              <w:rPr>
                <w:sz w:val="20"/>
                <w:szCs w:val="20"/>
                <w:color w:val="auto"/>
              </w:rPr>
            </w:pPr>
            <w:r>
              <w:rPr>
                <w:rFonts w:ascii="Times New Roman" w:cs="Times New Roman" w:eastAsia="Times New Roman" w:hAnsi="Times New Roman"/>
                <w:sz w:val="14"/>
                <w:szCs w:val="14"/>
                <w:color w:val="auto"/>
              </w:rPr>
              <w:t>/s/ Julissa Reynoso Pantaleón</w:t>
            </w:r>
          </w:p>
        </w:tc>
        <w:tc>
          <w:tcPr>
            <w:tcW w:w="660" w:type="dxa"/>
            <w:vAlign w:val="bottom"/>
            <w:tcBorders>
              <w:bottom w:val="single" w:sz="8" w:color="auto"/>
            </w:tcBorders>
          </w:tcPr>
          <w:p>
            <w:pPr>
              <w:spacing w:after="0"/>
              <w:rPr>
                <w:sz w:val="24"/>
                <w:szCs w:val="24"/>
                <w:color w:val="auto"/>
              </w:rPr>
            </w:pPr>
          </w:p>
        </w:tc>
        <w:tc>
          <w:tcPr>
            <w:tcW w:w="232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Director</w:t>
            </w:r>
          </w:p>
        </w:tc>
      </w:tr>
      <w:tr>
        <w:trPr>
          <w:trHeight w:val="175"/>
        </w:trPr>
        <w:tc>
          <w:tcPr>
            <w:tcW w:w="3780" w:type="dxa"/>
            <w:vAlign w:val="bottom"/>
            <w:gridSpan w:val="3"/>
          </w:tcPr>
          <w:p>
            <w:pPr>
              <w:jc w:val="center"/>
              <w:ind w:left="589"/>
              <w:spacing w:after="0"/>
              <w:rPr>
                <w:sz w:val="20"/>
                <w:szCs w:val="20"/>
                <w:color w:val="auto"/>
              </w:rPr>
            </w:pPr>
            <w:r>
              <w:rPr>
                <w:rFonts w:ascii="Times New Roman" w:cs="Times New Roman" w:eastAsia="Times New Roman" w:hAnsi="Times New Roman"/>
                <w:sz w:val="14"/>
                <w:szCs w:val="14"/>
                <w:color w:val="auto"/>
              </w:rPr>
              <w:t>Julissa Reynoso Pantaleón</w:t>
            </w:r>
          </w:p>
        </w:tc>
        <w:tc>
          <w:tcPr>
            <w:tcW w:w="66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220" w:type="dxa"/>
            <w:vAlign w:val="bottom"/>
          </w:tcPr>
          <w:p>
            <w:pPr>
              <w:spacing w:after="0"/>
              <w:rPr>
                <w:sz w:val="15"/>
                <w:szCs w:val="15"/>
                <w:color w:val="auto"/>
              </w:rPr>
            </w:pPr>
          </w:p>
        </w:tc>
      </w:tr>
      <w:tr>
        <w:trPr>
          <w:trHeight w:val="283"/>
        </w:trPr>
        <w:tc>
          <w:tcPr>
            <w:tcW w:w="19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980" w:type="dxa"/>
            <w:vAlign w:val="bottom"/>
            <w:gridSpan w:val="3"/>
          </w:tcPr>
          <w:p>
            <w:pPr>
              <w:ind w:left="460"/>
              <w:spacing w:after="0"/>
              <w:rPr>
                <w:sz w:val="20"/>
                <w:szCs w:val="20"/>
                <w:color w:val="auto"/>
              </w:rPr>
            </w:pPr>
            <w:r>
              <w:rPr>
                <w:rFonts w:ascii="Times New Roman" w:cs="Times New Roman" w:eastAsia="Times New Roman" w:hAnsi="Times New Roman"/>
                <w:sz w:val="14"/>
                <w:szCs w:val="14"/>
                <w:color w:val="auto"/>
              </w:rPr>
              <w:t>II-6</w:t>
            </w:r>
          </w:p>
        </w:tc>
      </w:tr>
    </w:tbl>
    <w:p>
      <w:pPr>
        <w:sectPr>
          <w:pgSz w:w="11900" w:h="16838" w:orient="portrait"/>
          <w:cols w:equalWidth="0" w:num="1">
            <w:col w:w="9019"/>
          </w:cols>
          <w:pgMar w:left="1440" w:top="237" w:right="1440" w:bottom="1440" w:gutter="0" w:footer="0" w:header="0"/>
        </w:sectPr>
      </w:pPr>
    </w:p>
    <w:bookmarkStart w:id="25" w:name="page26"/>
    <w:bookmarkEnd w:id="25"/>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9">
                      <a:extLst>
                        <a:ext uri="{28A0092B-C50C-407E-A947-70E740481C1C}"/>
                      </a:extLst>
                    </a:blip>
                    <a:srcRect/>
                    <a:stretch>
                      <a:fillRect/>
                    </a:stretch>
                  </pic:blipFill>
                  <pic:spPr bwMode="auto">
                    <a:xfrm>
                      <a:off x="0" y="0"/>
                      <a:ext cx="7200265" cy="33020"/>
                    </a:xfrm>
                    <a:prstGeom prst="rect">
                      <a:avLst/>
                    </a:prstGeom>
                    <a:noFill/>
                  </pic:spPr>
                </pic:pic>
              </a:graphicData>
            </a:graphic>
          </wp:anchor>
        </w:drawing>
        <w:t>SIGNATURES</w:t>
      </w:r>
    </w:p>
    <w:p>
      <w:pPr>
        <w:spacing w:after="0" w:line="181" w:lineRule="exact"/>
        <w:rPr>
          <w:sz w:val="20"/>
          <w:szCs w:val="20"/>
          <w:color w:val="auto"/>
        </w:rPr>
      </w:pPr>
    </w:p>
    <w:p>
      <w:pPr>
        <w:ind w:left="160" w:right="219" w:firstLine="347"/>
        <w:spacing w:after="0" w:line="271" w:lineRule="auto"/>
        <w:rPr>
          <w:sz w:val="20"/>
          <w:szCs w:val="20"/>
          <w:color w:val="auto"/>
        </w:rPr>
      </w:pPr>
      <w:r>
        <w:rPr>
          <w:rFonts w:ascii="Times New Roman" w:cs="Times New Roman" w:eastAsia="Times New Roman" w:hAnsi="Times New Roman"/>
          <w:sz w:val="14"/>
          <w:szCs w:val="14"/>
          <w:color w:val="auto"/>
        </w:rPr>
        <w:t>Pursuant to the requirements of the Securities Act of 1933, the registrant certifies that it has reasonable grounds to believe that it meets all of the requirements for filing on Form F-3 and has duly caused this registration statement on Form F-3 to be signed on its behalf by the undersigned, thereunto duly authorized, in Nuevo León, Mexico, on June 1, 2026.</w:t>
      </w:r>
    </w:p>
    <w:p>
      <w:pPr>
        <w:spacing w:after="0" w:line="155"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4"/>
          <w:szCs w:val="14"/>
          <w:b w:val="1"/>
          <w:bCs w:val="1"/>
          <w:color w:val="auto"/>
        </w:rPr>
        <w:t>Cemex Corp.</w:t>
      </w:r>
    </w:p>
    <w:p>
      <w:pPr>
        <w:spacing w:after="0" w:line="181"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4"/>
          <w:szCs w:val="14"/>
          <w:color w:val="auto"/>
        </w:rPr>
        <w:t>By: /s/ Fernando José Reiter Landa</w:t>
      </w:r>
    </w:p>
    <w:p>
      <w:pPr>
        <w:spacing w:after="0" w:line="23"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4"/>
          <w:szCs w:val="14"/>
          <w:color w:val="auto"/>
        </w:rPr>
        <w:t>Name:   Fernando José Reiter Landa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3569335</wp:posOffset>
            </wp:positionH>
            <wp:positionV relativeFrom="paragraph">
              <wp:posOffset>-100965</wp:posOffset>
            </wp:positionV>
            <wp:extent cx="2047240" cy="698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0">
                      <a:extLst>
                        <a:ext uri="{28A0092B-C50C-407E-A947-70E740481C1C}"/>
                      </a:extLst>
                    </a:blip>
                    <a:srcRect/>
                    <a:stretch>
                      <a:fillRect/>
                    </a:stretch>
                  </pic:blipFill>
                  <pic:spPr bwMode="auto">
                    <a:xfrm>
                      <a:off x="0" y="0"/>
                      <a:ext cx="2047240" cy="6985"/>
                    </a:xfrm>
                    <a:prstGeom prst="rect">
                      <a:avLst/>
                    </a:prstGeom>
                    <a:noFill/>
                  </pic:spPr>
                </pic:pic>
              </a:graphicData>
            </a:graphic>
          </wp:anchor>
        </w:drawing>
      </w:r>
    </w:p>
    <w:p>
      <w:pPr>
        <w:ind w:left="5660"/>
        <w:spacing w:after="0"/>
        <w:rPr>
          <w:sz w:val="20"/>
          <w:szCs w:val="20"/>
          <w:color w:val="auto"/>
        </w:rPr>
      </w:pPr>
      <w:r>
        <w:rPr>
          <w:rFonts w:ascii="Times New Roman" w:cs="Times New Roman" w:eastAsia="Times New Roman" w:hAnsi="Times New Roman"/>
          <w:sz w:val="14"/>
          <w:szCs w:val="14"/>
          <w:color w:val="auto"/>
        </w:rPr>
        <w:t>Title:     President</w:t>
      </w:r>
    </w:p>
    <w:p>
      <w:pPr>
        <w:spacing w:after="0" w:line="165" w:lineRule="exact"/>
        <w:rPr>
          <w:sz w:val="20"/>
          <w:szCs w:val="20"/>
          <w:color w:val="auto"/>
        </w:rPr>
      </w:pPr>
    </w:p>
    <w:p>
      <w:pPr>
        <w:ind w:left="160" w:right="199" w:firstLine="347"/>
        <w:spacing w:after="0" w:line="258" w:lineRule="auto"/>
        <w:rPr>
          <w:sz w:val="20"/>
          <w:szCs w:val="20"/>
          <w:color w:val="auto"/>
        </w:rPr>
      </w:pPr>
      <w:r>
        <w:rPr>
          <w:rFonts w:ascii="Times New Roman" w:cs="Times New Roman" w:eastAsia="Times New Roman" w:hAnsi="Times New Roman"/>
          <w:sz w:val="14"/>
          <w:szCs w:val="14"/>
          <w:color w:val="auto"/>
        </w:rPr>
        <w:t>In accordance with the requirements of the Securities Act of 1933, as amended, this Registration Statement has been signed by the following persons in the capacities and on the dates stated. Each person whose signature appears below constitutes and appoints Maher Al-Haffar, Fernando José Reiter Landa, Roger Saldaña Madero and Guillermo Francisco Hernández Morales and each of them severally, as his or her true and lawful attorney-in-fact and agent, each acting along with full power of substitution and resubstitution, for him or her and in his or her name, place and stead, in any and all capacities, to sign any or all amendments (including post-effective amendments) and exhibits to the Registration Statement on Form F-3, and to any registration statement filed under SEC Rule 462, and to file the same, with all exhibits thereto, and all documents in connection therewith, with the SEC, granting unto said attorney-in-fact and agent, full power and authority to do and perform each and every act and thing requisite and necessary to be done in and about the premises, as fully to all intents and purposes as he or she might or could do in person, hereby ratifying and confirming all that said attorney-in-fact and agent, or his or her substitute or substitutes, may lawfully do or cause to be done by virtue hereof.</w:t>
      </w:r>
    </w:p>
    <w:p>
      <w:pPr>
        <w:spacing w:after="0" w:line="145" w:lineRule="exact"/>
        <w:rPr>
          <w:sz w:val="20"/>
          <w:szCs w:val="20"/>
          <w:color w:val="auto"/>
        </w:rPr>
      </w:pPr>
    </w:p>
    <w:p>
      <w:pPr>
        <w:ind w:left="160" w:right="199" w:firstLine="347"/>
        <w:spacing w:after="0" w:line="288" w:lineRule="auto"/>
        <w:rPr>
          <w:sz w:val="20"/>
          <w:szCs w:val="20"/>
          <w:color w:val="auto"/>
        </w:rPr>
      </w:pPr>
      <w:r>
        <w:rPr>
          <w:rFonts w:ascii="Times New Roman" w:cs="Times New Roman" w:eastAsia="Times New Roman" w:hAnsi="Times New Roman"/>
          <w:sz w:val="14"/>
          <w:szCs w:val="14"/>
          <w:color w:val="auto"/>
        </w:rPr>
        <w:t>Pursuant to the requirements of the Securities Act of 1933, this registration statement on Form F-3 has been signed by the following persons in the capacities indicated on June 1, 2026</w:t>
      </w:r>
    </w:p>
    <w:p>
      <w:pPr>
        <w:spacing w:after="0" w:line="141" w:lineRule="exact"/>
        <w:rPr>
          <w:sz w:val="20"/>
          <w:szCs w:val="20"/>
          <w:color w:val="auto"/>
        </w:rPr>
      </w:pPr>
    </w:p>
    <w:tbl>
      <w:tblPr>
        <w:tblLayout w:type="fixed"/>
        <w:tblInd w:w="160" w:type="dxa"/>
        <w:tblCellMar>
          <w:top w:w="0" w:type="dxa"/>
          <w:left w:w="0" w:type="dxa"/>
          <w:bottom w:w="0" w:type="dxa"/>
          <w:right w:w="0" w:type="dxa"/>
        </w:tblCellMar>
      </w:tblPr>
      <w:tr>
        <w:trPr>
          <w:trHeight w:val="136"/>
        </w:trPr>
        <w:tc>
          <w:tcPr>
            <w:tcW w:w="1980" w:type="dxa"/>
            <w:vAlign w:val="bottom"/>
          </w:tcPr>
          <w:p>
            <w:pPr>
              <w:spacing w:after="0"/>
              <w:rPr>
                <w:sz w:val="11"/>
                <w:szCs w:val="11"/>
                <w:color w:val="auto"/>
              </w:rPr>
            </w:pPr>
          </w:p>
        </w:tc>
        <w:tc>
          <w:tcPr>
            <w:tcW w:w="48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Signature</w:t>
            </w:r>
          </w:p>
        </w:tc>
        <w:tc>
          <w:tcPr>
            <w:tcW w:w="12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940" w:type="dxa"/>
            <w:vAlign w:val="bottom"/>
            <w:gridSpan w:val="3"/>
          </w:tcPr>
          <w:p>
            <w:pPr>
              <w:ind w:left="2100"/>
              <w:spacing w:after="0"/>
              <w:rPr>
                <w:sz w:val="20"/>
                <w:szCs w:val="20"/>
                <w:color w:val="auto"/>
              </w:rPr>
            </w:pPr>
            <w:r>
              <w:rPr>
                <w:rFonts w:ascii="Times New Roman" w:cs="Times New Roman" w:eastAsia="Times New Roman" w:hAnsi="Times New Roman"/>
                <w:sz w:val="11"/>
                <w:szCs w:val="11"/>
                <w:b w:val="1"/>
                <w:bCs w:val="1"/>
                <w:color w:val="auto"/>
              </w:rPr>
              <w:t>Title</w:t>
            </w:r>
          </w:p>
        </w:tc>
      </w:tr>
      <w:tr>
        <w:trPr>
          <w:trHeight w:val="20"/>
        </w:trPr>
        <w:tc>
          <w:tcPr>
            <w:tcW w:w="198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r>
      <w:tr>
        <w:trPr>
          <w:trHeight w:val="331"/>
        </w:trPr>
        <w:tc>
          <w:tcPr>
            <w:tcW w:w="3660" w:type="dxa"/>
            <w:vAlign w:val="bottom"/>
            <w:tcBorders>
              <w:bottom w:val="single" w:sz="8" w:color="auto"/>
            </w:tcBorders>
            <w:gridSpan w:val="3"/>
          </w:tcPr>
          <w:p>
            <w:pPr>
              <w:jc w:val="center"/>
              <w:ind w:left="709"/>
              <w:spacing w:after="0"/>
              <w:rPr>
                <w:sz w:val="20"/>
                <w:szCs w:val="20"/>
                <w:color w:val="auto"/>
              </w:rPr>
            </w:pPr>
            <w:r>
              <w:rPr>
                <w:rFonts w:ascii="Times New Roman" w:cs="Times New Roman" w:eastAsia="Times New Roman" w:hAnsi="Times New Roman"/>
                <w:sz w:val="14"/>
                <w:szCs w:val="14"/>
                <w:color w:val="auto"/>
              </w:rPr>
              <w:t>/s/ Fernando José Reiter Landa</w:t>
            </w:r>
          </w:p>
        </w:tc>
        <w:tc>
          <w:tcPr>
            <w:tcW w:w="780" w:type="dxa"/>
            <w:vAlign w:val="bottom"/>
            <w:tcBorders>
              <w:bottom w:val="single" w:sz="8" w:color="auto"/>
            </w:tcBorders>
          </w:tcPr>
          <w:p>
            <w:pPr>
              <w:spacing w:after="0"/>
              <w:rPr>
                <w:sz w:val="24"/>
                <w:szCs w:val="24"/>
                <w:color w:val="auto"/>
              </w:rPr>
            </w:pPr>
          </w:p>
        </w:tc>
        <w:tc>
          <w:tcPr>
            <w:tcW w:w="3940" w:type="dxa"/>
            <w:vAlign w:val="bottom"/>
            <w:gridSpan w:val="3"/>
          </w:tcPr>
          <w:p>
            <w:pPr>
              <w:ind w:left="180"/>
              <w:spacing w:after="0"/>
              <w:rPr>
                <w:sz w:val="20"/>
                <w:szCs w:val="20"/>
                <w:color w:val="auto"/>
              </w:rPr>
            </w:pPr>
            <w:r>
              <w:rPr>
                <w:rFonts w:ascii="Times New Roman" w:cs="Times New Roman" w:eastAsia="Times New Roman" w:hAnsi="Times New Roman"/>
                <w:sz w:val="14"/>
                <w:szCs w:val="14"/>
                <w:color w:val="auto"/>
              </w:rPr>
              <w:t>Director and President (principal executive officer)</w:t>
            </w:r>
          </w:p>
        </w:tc>
      </w:tr>
      <w:tr>
        <w:trPr>
          <w:trHeight w:val="175"/>
        </w:trPr>
        <w:tc>
          <w:tcPr>
            <w:tcW w:w="3660" w:type="dxa"/>
            <w:vAlign w:val="bottom"/>
            <w:gridSpan w:val="3"/>
          </w:tcPr>
          <w:p>
            <w:pPr>
              <w:jc w:val="center"/>
              <w:ind w:left="709"/>
              <w:spacing w:after="0"/>
              <w:rPr>
                <w:sz w:val="20"/>
                <w:szCs w:val="20"/>
                <w:color w:val="auto"/>
              </w:rPr>
            </w:pPr>
            <w:r>
              <w:rPr>
                <w:rFonts w:ascii="Times New Roman" w:cs="Times New Roman" w:eastAsia="Times New Roman" w:hAnsi="Times New Roman"/>
                <w:sz w:val="14"/>
                <w:szCs w:val="14"/>
                <w:color w:val="auto"/>
              </w:rPr>
              <w:t>Fernando José Reiter Landa</w:t>
            </w:r>
          </w:p>
        </w:tc>
        <w:tc>
          <w:tcPr>
            <w:tcW w:w="78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20" w:type="dxa"/>
            <w:vAlign w:val="bottom"/>
          </w:tcPr>
          <w:p>
            <w:pPr>
              <w:spacing w:after="0"/>
              <w:rPr>
                <w:sz w:val="15"/>
                <w:szCs w:val="15"/>
                <w:color w:val="auto"/>
              </w:rPr>
            </w:pPr>
          </w:p>
        </w:tc>
      </w:tr>
      <w:tr>
        <w:trPr>
          <w:trHeight w:val="337"/>
        </w:trPr>
        <w:tc>
          <w:tcPr>
            <w:tcW w:w="3660" w:type="dxa"/>
            <w:vAlign w:val="bottom"/>
            <w:tcBorders>
              <w:bottom w:val="single" w:sz="8" w:color="auto"/>
            </w:tcBorders>
            <w:gridSpan w:val="3"/>
          </w:tcPr>
          <w:p>
            <w:pPr>
              <w:jc w:val="center"/>
              <w:ind w:left="709"/>
              <w:spacing w:after="0"/>
              <w:rPr>
                <w:sz w:val="20"/>
                <w:szCs w:val="20"/>
                <w:color w:val="auto"/>
              </w:rPr>
            </w:pPr>
            <w:r>
              <w:rPr>
                <w:rFonts w:ascii="Times New Roman" w:cs="Times New Roman" w:eastAsia="Times New Roman" w:hAnsi="Times New Roman"/>
                <w:sz w:val="14"/>
                <w:szCs w:val="14"/>
                <w:color w:val="auto"/>
              </w:rPr>
              <w:t>/s/ Francisco Javier Salinas Jr</w:t>
            </w:r>
          </w:p>
        </w:tc>
        <w:tc>
          <w:tcPr>
            <w:tcW w:w="780" w:type="dxa"/>
            <w:vAlign w:val="bottom"/>
            <w:tcBorders>
              <w:bottom w:val="single" w:sz="8" w:color="auto"/>
            </w:tcBorders>
          </w:tcPr>
          <w:p>
            <w:pPr>
              <w:spacing w:after="0"/>
              <w:rPr>
                <w:sz w:val="24"/>
                <w:szCs w:val="24"/>
                <w:color w:val="auto"/>
              </w:rPr>
            </w:pPr>
          </w:p>
        </w:tc>
        <w:tc>
          <w:tcPr>
            <w:tcW w:w="3940" w:type="dxa"/>
            <w:vAlign w:val="bottom"/>
            <w:gridSpan w:val="3"/>
          </w:tcPr>
          <w:p>
            <w:pPr>
              <w:ind w:left="180"/>
              <w:spacing w:after="0"/>
              <w:rPr>
                <w:sz w:val="20"/>
                <w:szCs w:val="20"/>
                <w:color w:val="auto"/>
              </w:rPr>
            </w:pPr>
            <w:r>
              <w:rPr>
                <w:rFonts w:ascii="Times New Roman" w:cs="Times New Roman" w:eastAsia="Times New Roman" w:hAnsi="Times New Roman"/>
                <w:sz w:val="14"/>
                <w:szCs w:val="14"/>
                <w:color w:val="auto"/>
              </w:rPr>
              <w:t>Director and Treasurer (principal financial and accounting officer)</w:t>
            </w:r>
          </w:p>
        </w:tc>
      </w:tr>
      <w:tr>
        <w:trPr>
          <w:trHeight w:val="175"/>
        </w:trPr>
        <w:tc>
          <w:tcPr>
            <w:tcW w:w="3660" w:type="dxa"/>
            <w:vAlign w:val="bottom"/>
            <w:gridSpan w:val="3"/>
          </w:tcPr>
          <w:p>
            <w:pPr>
              <w:jc w:val="center"/>
              <w:ind w:left="709"/>
              <w:spacing w:after="0"/>
              <w:rPr>
                <w:sz w:val="20"/>
                <w:szCs w:val="20"/>
                <w:color w:val="auto"/>
              </w:rPr>
            </w:pPr>
            <w:r>
              <w:rPr>
                <w:rFonts w:ascii="Times New Roman" w:cs="Times New Roman" w:eastAsia="Times New Roman" w:hAnsi="Times New Roman"/>
                <w:sz w:val="14"/>
                <w:szCs w:val="14"/>
                <w:color w:val="auto"/>
              </w:rPr>
              <w:t>Francisco Javier Salinas Jr</w:t>
            </w:r>
          </w:p>
        </w:tc>
        <w:tc>
          <w:tcPr>
            <w:tcW w:w="78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20" w:type="dxa"/>
            <w:vAlign w:val="bottom"/>
          </w:tcPr>
          <w:p>
            <w:pPr>
              <w:spacing w:after="0"/>
              <w:rPr>
                <w:sz w:val="15"/>
                <w:szCs w:val="15"/>
                <w:color w:val="auto"/>
              </w:rPr>
            </w:pPr>
          </w:p>
        </w:tc>
      </w:tr>
      <w:tr>
        <w:trPr>
          <w:trHeight w:val="283"/>
        </w:trPr>
        <w:tc>
          <w:tcPr>
            <w:tcW w:w="19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720" w:type="dxa"/>
            <w:vAlign w:val="bottom"/>
            <w:gridSpan w:val="4"/>
          </w:tcPr>
          <w:p>
            <w:pPr>
              <w:ind w:left="580"/>
              <w:spacing w:after="0"/>
              <w:rPr>
                <w:sz w:val="20"/>
                <w:szCs w:val="20"/>
                <w:color w:val="auto"/>
              </w:rPr>
            </w:pPr>
            <w:r>
              <w:rPr>
                <w:rFonts w:ascii="Times New Roman" w:cs="Times New Roman" w:eastAsia="Times New Roman" w:hAnsi="Times New Roman"/>
                <w:sz w:val="14"/>
                <w:szCs w:val="14"/>
                <w:color w:val="auto"/>
              </w:rPr>
              <w:t>II-7</w:t>
            </w:r>
          </w:p>
        </w:tc>
      </w:tr>
    </w:tbl>
    <w:p>
      <w:pPr>
        <w:sectPr>
          <w:pgSz w:w="11900" w:h="16838" w:orient="portrait"/>
          <w:cols w:equalWidth="0" w:num="1">
            <w:col w:w="9019"/>
          </w:cols>
          <w:pgMar w:left="1440" w:top="240" w:right="1440" w:bottom="1440" w:gutter="0" w:footer="0" w:header="0"/>
        </w:sectPr>
      </w:pPr>
    </w:p>
    <w:bookmarkStart w:id="26" w:name="page27"/>
    <w:bookmarkEnd w:id="26"/>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1">
                      <a:extLst>
                        <a:ext uri="{28A0092B-C50C-407E-A947-70E740481C1C}"/>
                      </a:extLst>
                    </a:blip>
                    <a:srcRect/>
                    <a:stretch>
                      <a:fillRect/>
                    </a:stretch>
                  </pic:blipFill>
                  <pic:spPr bwMode="auto">
                    <a:xfrm>
                      <a:off x="0" y="0"/>
                      <a:ext cx="7200265" cy="33020"/>
                    </a:xfrm>
                    <a:prstGeom prst="rect">
                      <a:avLst/>
                    </a:prstGeom>
                    <a:noFill/>
                  </pic:spPr>
                </pic:pic>
              </a:graphicData>
            </a:graphic>
          </wp:anchor>
        </w:drawing>
        <w:t>Signature of Authorized Representative of Cemex, S.A.B. de C.V.</w:t>
      </w:r>
    </w:p>
    <w:p>
      <w:pPr>
        <w:spacing w:after="0" w:line="181" w:lineRule="exact"/>
        <w:rPr>
          <w:sz w:val="20"/>
          <w:szCs w:val="20"/>
          <w:color w:val="auto"/>
        </w:rPr>
      </w:pPr>
    </w:p>
    <w:p>
      <w:pPr>
        <w:ind w:left="160" w:right="479" w:firstLine="347"/>
        <w:spacing w:after="0" w:line="288" w:lineRule="auto"/>
        <w:rPr>
          <w:sz w:val="20"/>
          <w:szCs w:val="20"/>
          <w:color w:val="auto"/>
        </w:rPr>
      </w:pPr>
      <w:r>
        <w:rPr>
          <w:rFonts w:ascii="Times New Roman" w:cs="Times New Roman" w:eastAsia="Times New Roman" w:hAnsi="Times New Roman"/>
          <w:sz w:val="14"/>
          <w:szCs w:val="14"/>
          <w:color w:val="auto"/>
        </w:rPr>
        <w:t>Pursuant to the Securities Act of 1933, the undersigned, the duly authorized representative in the United States of Cemex, S.A.B. de C.V., has signed this registration statement in the City of New York, New York, on June 1, 2026.</w:t>
      </w:r>
    </w:p>
    <w:p>
      <w:pPr>
        <w:spacing w:after="0" w:line="141" w:lineRule="exact"/>
        <w:rPr>
          <w:sz w:val="20"/>
          <w:szCs w:val="20"/>
          <w:color w:val="auto"/>
        </w:rPr>
      </w:pPr>
    </w:p>
    <w:tbl>
      <w:tblPr>
        <w:tblLayout w:type="fixed"/>
        <w:tblInd w:w="160" w:type="dxa"/>
        <w:tblCellMar>
          <w:top w:w="0" w:type="dxa"/>
          <w:left w:w="0" w:type="dxa"/>
          <w:bottom w:w="0" w:type="dxa"/>
          <w:right w:w="0" w:type="dxa"/>
        </w:tblCellMar>
      </w:tblPr>
      <w:tr>
        <w:trPr>
          <w:trHeight w:val="136"/>
        </w:trPr>
        <w:tc>
          <w:tcPr>
            <w:tcW w:w="1980" w:type="dxa"/>
            <w:vAlign w:val="bottom"/>
          </w:tcPr>
          <w:p>
            <w:pPr>
              <w:spacing w:after="0"/>
              <w:rPr>
                <w:sz w:val="11"/>
                <w:szCs w:val="11"/>
                <w:color w:val="auto"/>
              </w:rPr>
            </w:pPr>
          </w:p>
        </w:tc>
        <w:tc>
          <w:tcPr>
            <w:tcW w:w="48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Signature</w:t>
            </w:r>
          </w:p>
        </w:tc>
        <w:tc>
          <w:tcPr>
            <w:tcW w:w="10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840" w:type="dxa"/>
            <w:vAlign w:val="bottom"/>
            <w:gridSpan w:val="3"/>
          </w:tcPr>
          <w:p>
            <w:pPr>
              <w:ind w:left="2100"/>
              <w:spacing w:after="0"/>
              <w:rPr>
                <w:sz w:val="20"/>
                <w:szCs w:val="20"/>
                <w:color w:val="auto"/>
              </w:rPr>
            </w:pPr>
            <w:r>
              <w:rPr>
                <w:rFonts w:ascii="Times New Roman" w:cs="Times New Roman" w:eastAsia="Times New Roman" w:hAnsi="Times New Roman"/>
                <w:sz w:val="11"/>
                <w:szCs w:val="11"/>
                <w:b w:val="1"/>
                <w:bCs w:val="1"/>
                <w:color w:val="auto"/>
              </w:rPr>
              <w:t>Title</w:t>
            </w:r>
          </w:p>
        </w:tc>
      </w:tr>
      <w:tr>
        <w:trPr>
          <w:trHeight w:val="20"/>
        </w:trPr>
        <w:tc>
          <w:tcPr>
            <w:tcW w:w="198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331"/>
        </w:trPr>
        <w:tc>
          <w:tcPr>
            <w:tcW w:w="3520" w:type="dxa"/>
            <w:vAlign w:val="bottom"/>
            <w:tcBorders>
              <w:bottom w:val="single" w:sz="8" w:color="auto"/>
            </w:tcBorders>
            <w:gridSpan w:val="3"/>
          </w:tcPr>
          <w:p>
            <w:pPr>
              <w:jc w:val="center"/>
              <w:ind w:left="849"/>
              <w:spacing w:after="0"/>
              <w:rPr>
                <w:sz w:val="20"/>
                <w:szCs w:val="20"/>
                <w:color w:val="auto"/>
              </w:rPr>
            </w:pPr>
            <w:r>
              <w:rPr>
                <w:rFonts w:ascii="Times New Roman" w:cs="Times New Roman" w:eastAsia="Times New Roman" w:hAnsi="Times New Roman"/>
                <w:sz w:val="14"/>
                <w:szCs w:val="14"/>
                <w:color w:val="auto"/>
                <w:w w:val="99"/>
              </w:rPr>
              <w:t>/s/ Maher Al-Haffar</w:t>
            </w:r>
          </w:p>
        </w:tc>
        <w:tc>
          <w:tcPr>
            <w:tcW w:w="920" w:type="dxa"/>
            <w:vAlign w:val="bottom"/>
            <w:tcBorders>
              <w:bottom w:val="single" w:sz="8" w:color="auto"/>
            </w:tcBorders>
          </w:tcPr>
          <w:p>
            <w:pPr>
              <w:spacing w:after="0"/>
              <w:rPr>
                <w:sz w:val="24"/>
                <w:szCs w:val="24"/>
                <w:color w:val="auto"/>
              </w:rPr>
            </w:pPr>
          </w:p>
        </w:tc>
        <w:tc>
          <w:tcPr>
            <w:tcW w:w="2840" w:type="dxa"/>
            <w:vAlign w:val="bottom"/>
            <w:gridSpan w:val="3"/>
          </w:tcPr>
          <w:p>
            <w:pPr>
              <w:ind w:left="180"/>
              <w:spacing w:after="0"/>
              <w:rPr>
                <w:sz w:val="20"/>
                <w:szCs w:val="20"/>
                <w:color w:val="auto"/>
              </w:rPr>
            </w:pPr>
            <w:r>
              <w:rPr>
                <w:rFonts w:ascii="Times New Roman" w:cs="Times New Roman" w:eastAsia="Times New Roman" w:hAnsi="Times New Roman"/>
                <w:sz w:val="14"/>
                <w:szCs w:val="14"/>
                <w:color w:val="auto"/>
              </w:rPr>
              <w:t>Authorized Representative in the United States</w:t>
            </w:r>
          </w:p>
        </w:tc>
      </w:tr>
      <w:tr>
        <w:trPr>
          <w:trHeight w:val="175"/>
        </w:trPr>
        <w:tc>
          <w:tcPr>
            <w:tcW w:w="3520" w:type="dxa"/>
            <w:vAlign w:val="bottom"/>
            <w:gridSpan w:val="3"/>
          </w:tcPr>
          <w:p>
            <w:pPr>
              <w:jc w:val="center"/>
              <w:ind w:left="849"/>
              <w:spacing w:after="0"/>
              <w:rPr>
                <w:sz w:val="20"/>
                <w:szCs w:val="20"/>
                <w:color w:val="auto"/>
              </w:rPr>
            </w:pPr>
            <w:r>
              <w:rPr>
                <w:rFonts w:ascii="Times New Roman" w:cs="Times New Roman" w:eastAsia="Times New Roman" w:hAnsi="Times New Roman"/>
                <w:sz w:val="14"/>
                <w:szCs w:val="14"/>
                <w:color w:val="auto"/>
              </w:rPr>
              <w:t>Maher Al-Haffar</w:t>
            </w:r>
          </w:p>
        </w:tc>
        <w:tc>
          <w:tcPr>
            <w:tcW w:w="92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20" w:type="dxa"/>
            <w:vAlign w:val="bottom"/>
          </w:tcPr>
          <w:p>
            <w:pPr>
              <w:spacing w:after="0"/>
              <w:rPr>
                <w:sz w:val="15"/>
                <w:szCs w:val="15"/>
                <w:color w:val="auto"/>
              </w:rPr>
            </w:pPr>
          </w:p>
        </w:tc>
      </w:tr>
      <w:tr>
        <w:trPr>
          <w:trHeight w:val="283"/>
        </w:trPr>
        <w:tc>
          <w:tcPr>
            <w:tcW w:w="19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760" w:type="dxa"/>
            <w:vAlign w:val="bottom"/>
            <w:gridSpan w:val="4"/>
          </w:tcPr>
          <w:p>
            <w:pPr>
              <w:ind w:left="720"/>
              <w:spacing w:after="0"/>
              <w:rPr>
                <w:sz w:val="20"/>
                <w:szCs w:val="20"/>
                <w:color w:val="auto"/>
              </w:rPr>
            </w:pPr>
            <w:r>
              <w:rPr>
                <w:rFonts w:ascii="Times New Roman" w:cs="Times New Roman" w:eastAsia="Times New Roman" w:hAnsi="Times New Roman"/>
                <w:sz w:val="14"/>
                <w:szCs w:val="14"/>
                <w:color w:val="auto"/>
              </w:rPr>
              <w:t>II-8</w:t>
            </w:r>
          </w:p>
        </w:tc>
      </w:tr>
    </w:tbl>
    <w:p>
      <w:pPr>
        <w:sectPr>
          <w:pgSz w:w="11900" w:h="16838" w:orient="portrait"/>
          <w:cols w:equalWidth="0" w:num="1">
            <w:col w:w="9019"/>
          </w:cols>
          <w:pgMar w:left="1440" w:top="240" w:right="1440" w:bottom="1440" w:gutter="0" w:footer="0" w:header="0"/>
        </w:sectPr>
      </w:pPr>
    </w:p>
    <w:bookmarkStart w:id="27" w:name="page28"/>
    <w:bookmarkEnd w:id="27"/>
    <w:p>
      <w:pPr>
        <w:jc w:val="right"/>
        <w:ind w:right="179"/>
        <w:spacing w:after="0"/>
        <w:rPr>
          <w:sz w:val="20"/>
          <w:szCs w:val="20"/>
          <w:color w:val="auto"/>
        </w:rPr>
      </w:pPr>
      <w:r>
        <w:rPr>
          <w:rFonts w:ascii="Times New Roman" w:cs="Times New Roman" w:eastAsia="Times New Roman" w:hAnsi="Times New Roman"/>
          <w:sz w:val="14"/>
          <w:szCs w:val="14"/>
          <w:b w:val="1"/>
          <w:bCs w:val="1"/>
          <w:color w:val="auto"/>
        </w:rPr>
        <w:t>Exhibit 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103505</wp:posOffset>
            </wp:positionH>
            <wp:positionV relativeFrom="paragraph">
              <wp:posOffset>144780</wp:posOffset>
            </wp:positionV>
            <wp:extent cx="5513070" cy="698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2">
                      <a:extLst>
                        <a:ext uri="{28A0092B-C50C-407E-A947-70E740481C1C}"/>
                      </a:extLst>
                    </a:blip>
                    <a:srcRect/>
                    <a:stretch>
                      <a:fillRect/>
                    </a:stretch>
                  </pic:blipFill>
                  <pic:spPr bwMode="auto">
                    <a:xfrm>
                      <a:off x="0" y="0"/>
                      <a:ext cx="5513070" cy="6985"/>
                    </a:xfrm>
                    <a:prstGeom prst="rect">
                      <a:avLst/>
                    </a:prstGeom>
                    <a:noFill/>
                  </pic:spPr>
                </pic:pic>
              </a:graphicData>
            </a:graphic>
          </wp:anchor>
        </w:drawing>
        <w:drawing>
          <wp:anchor simplePos="0" relativeHeight="251657728" behindDoc="1" locked="0" layoutInCell="0" allowOverlap="1">
            <wp:simplePos x="0" y="0"/>
            <wp:positionH relativeFrom="column">
              <wp:posOffset>103505</wp:posOffset>
            </wp:positionH>
            <wp:positionV relativeFrom="paragraph">
              <wp:posOffset>178435</wp:posOffset>
            </wp:positionV>
            <wp:extent cx="5513070" cy="698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3">
                      <a:extLst>
                        <a:ext uri="{28A0092B-C50C-407E-A947-70E740481C1C}"/>
                      </a:extLst>
                    </a:blip>
                    <a:srcRect/>
                    <a:stretch>
                      <a:fillRect/>
                    </a:stretch>
                  </pic:blipFill>
                  <pic:spPr bwMode="auto">
                    <a:xfrm>
                      <a:off x="0" y="0"/>
                      <a:ext cx="5513070" cy="6985"/>
                    </a:xfrm>
                    <a:prstGeom prst="rect">
                      <a:avLst/>
                    </a:prstGeom>
                    <a:noFill/>
                  </pic:spPr>
                </pic:pic>
              </a:graphicData>
            </a:graphic>
          </wp:anchor>
        </w:drawing>
      </w: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CEMEX, S.A.B. DE C.V.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2279015</wp:posOffset>
            </wp:positionH>
            <wp:positionV relativeFrom="paragraph">
              <wp:posOffset>198755</wp:posOffset>
            </wp:positionV>
            <wp:extent cx="1162050" cy="698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4">
                      <a:extLst>
                        <a:ext uri="{28A0092B-C50C-407E-A947-70E740481C1C}"/>
                      </a:extLst>
                    </a:blip>
                    <a:srcRect/>
                    <a:stretch>
                      <a:fillRect/>
                    </a:stretch>
                  </pic:blipFill>
                  <pic:spPr bwMode="auto">
                    <a:xfrm>
                      <a:off x="0" y="0"/>
                      <a:ext cx="1162050" cy="6985"/>
                    </a:xfrm>
                    <a:prstGeom prst="rect">
                      <a:avLst/>
                    </a:prstGeom>
                    <a:noFill/>
                  </pic:spPr>
                </pic:pic>
              </a:graphicData>
            </a:graphic>
          </wp:anchor>
        </w:drawing>
      </w: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INDENTURE</w:t>
      </w:r>
    </w:p>
    <w:p>
      <w:pPr>
        <w:spacing w:after="0" w:line="1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Dated as of</w:t>
      </w:r>
    </w:p>
    <w:p>
      <w:pPr>
        <w:spacing w:after="0" w:line="1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2279015</wp:posOffset>
            </wp:positionH>
            <wp:positionV relativeFrom="paragraph">
              <wp:posOffset>192405</wp:posOffset>
            </wp:positionV>
            <wp:extent cx="1162050" cy="698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5">
                      <a:extLst>
                        <a:ext uri="{28A0092B-C50C-407E-A947-70E740481C1C}"/>
                      </a:extLst>
                    </a:blip>
                    <a:srcRect/>
                    <a:stretch>
                      <a:fillRect/>
                    </a:stretch>
                  </pic:blipFill>
                  <pic:spPr bwMode="auto">
                    <a:xfrm>
                      <a:off x="0" y="0"/>
                      <a:ext cx="1162050" cy="6985"/>
                    </a:xfrm>
                    <a:prstGeom prst="rect">
                      <a:avLst/>
                    </a:prstGeom>
                    <a:noFill/>
                  </pic:spPr>
                </pic:pic>
              </a:graphicData>
            </a:graphic>
          </wp:anchor>
        </w:drawing>
      </w: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DEBT SECURITIES</w:t>
      </w:r>
    </w:p>
    <w:p>
      <w:pPr>
        <w:spacing w:after="0" w:line="1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THE BANK OF NEW YORK MELLON</w:t>
      </w:r>
    </w:p>
    <w:p>
      <w:pPr>
        <w:spacing w:after="0" w:line="1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Trustee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103505</wp:posOffset>
            </wp:positionH>
            <wp:positionV relativeFrom="paragraph">
              <wp:posOffset>144780</wp:posOffset>
            </wp:positionV>
            <wp:extent cx="5513070" cy="698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6">
                      <a:extLst>
                        <a:ext uri="{28A0092B-C50C-407E-A947-70E740481C1C}"/>
                      </a:extLst>
                    </a:blip>
                    <a:srcRect/>
                    <a:stretch>
                      <a:fillRect/>
                    </a:stretch>
                  </pic:blipFill>
                  <pic:spPr bwMode="auto">
                    <a:xfrm>
                      <a:off x="0" y="0"/>
                      <a:ext cx="5513070" cy="6985"/>
                    </a:xfrm>
                    <a:prstGeom prst="rect">
                      <a:avLst/>
                    </a:prstGeom>
                    <a:noFill/>
                  </pic:spPr>
                </pic:pic>
              </a:graphicData>
            </a:graphic>
          </wp:anchor>
        </w:drawing>
        <w:drawing>
          <wp:anchor simplePos="0" relativeHeight="251657728" behindDoc="1" locked="0" layoutInCell="0" allowOverlap="1">
            <wp:simplePos x="0" y="0"/>
            <wp:positionH relativeFrom="column">
              <wp:posOffset>103505</wp:posOffset>
            </wp:positionH>
            <wp:positionV relativeFrom="paragraph">
              <wp:posOffset>178435</wp:posOffset>
            </wp:positionV>
            <wp:extent cx="5513070" cy="698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7">
                      <a:extLst>
                        <a:ext uri="{28A0092B-C50C-407E-A947-70E740481C1C}"/>
                      </a:extLst>
                    </a:blip>
                    <a:srcRect/>
                    <a:stretch>
                      <a:fillRect/>
                    </a:stretch>
                  </pic:blipFill>
                  <pic:spPr bwMode="auto">
                    <a:xfrm>
                      <a:off x="0" y="0"/>
                      <a:ext cx="5513070" cy="698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28" w:name="page29"/>
    <w:bookmarkEnd w:id="28"/>
    <w:tbl>
      <w:tblPr>
        <w:tblLayout w:type="fixed"/>
        <w:tblInd w:w="160" w:type="dxa"/>
        <w:tblCellMar>
          <w:top w:w="0" w:type="dxa"/>
          <w:left w:w="0" w:type="dxa"/>
          <w:bottom w:w="0" w:type="dxa"/>
          <w:right w:w="0" w:type="dxa"/>
        </w:tblCellMar>
      </w:tblPr>
      <w:tr>
        <w:trPr>
          <w:trHeight w:val="170"/>
        </w:trPr>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4220" w:type="dxa"/>
            <w:vAlign w:val="bottom"/>
            <w:gridSpan w:val="3"/>
          </w:tcPr>
          <w:p>
            <w:pPr>
              <w:jc w:val="center"/>
              <w:ind w:left="590"/>
              <w:spacing w:after="0"/>
              <w:rPr>
                <w:sz w:val="20"/>
                <w:szCs w:val="20"/>
                <w:color w:val="auto"/>
              </w:rPr>
            </w:pPr>
            <w:r>
              <w:rPr>
                <w:rFonts w:ascii="Times New Roman" w:cs="Times New Roman" w:eastAsia="Times New Roman" w:hAnsi="Times New Roman"/>
                <w:sz w:val="14"/>
                <w:szCs w:val="14"/>
                <w:b w:val="1"/>
                <w:bCs w:val="1"/>
                <w:color w:val="auto"/>
              </w:rPr>
              <w:t>Reconciliation and tie between</w:t>
            </w:r>
          </w:p>
        </w:tc>
        <w:tc>
          <w:tcPr>
            <w:tcW w:w="0" w:type="dxa"/>
            <w:vAlign w:val="bottom"/>
          </w:tcPr>
          <w:p>
            <w:pPr>
              <w:spacing w:after="0"/>
              <w:rPr>
                <w:sz w:val="1"/>
                <w:szCs w:val="1"/>
                <w:color w:val="auto"/>
              </w:rPr>
            </w:pPr>
          </w:p>
        </w:tc>
      </w:tr>
      <w:tr>
        <w:trPr>
          <w:trHeight w:val="186"/>
        </w:trPr>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4220" w:type="dxa"/>
            <w:vAlign w:val="bottom"/>
            <w:gridSpan w:val="3"/>
          </w:tcPr>
          <w:p>
            <w:pPr>
              <w:jc w:val="center"/>
              <w:ind w:left="610"/>
              <w:spacing w:after="0"/>
              <w:rPr>
                <w:sz w:val="20"/>
                <w:szCs w:val="20"/>
                <w:color w:val="auto"/>
              </w:rPr>
            </w:pPr>
            <w:r>
              <w:rPr>
                <w:rFonts w:ascii="Times New Roman" w:cs="Times New Roman" w:eastAsia="Times New Roman" w:hAnsi="Times New Roman"/>
                <w:sz w:val="14"/>
                <w:szCs w:val="14"/>
                <w:b w:val="1"/>
                <w:bCs w:val="1"/>
                <w:color w:val="auto"/>
              </w:rPr>
              <w:t>Trust Indenture Act of 1939 and Indenture*</w:t>
            </w:r>
          </w:p>
        </w:tc>
        <w:tc>
          <w:tcPr>
            <w:tcW w:w="0" w:type="dxa"/>
            <w:vAlign w:val="bottom"/>
          </w:tcPr>
          <w:p>
            <w:pPr>
              <w:spacing w:after="0"/>
              <w:rPr>
                <w:sz w:val="1"/>
                <w:szCs w:val="1"/>
                <w:color w:val="auto"/>
              </w:rPr>
            </w:pPr>
          </w:p>
        </w:tc>
      </w:tr>
      <w:tr>
        <w:trPr>
          <w:trHeight w:val="290"/>
        </w:trPr>
        <w:tc>
          <w:tcPr>
            <w:tcW w:w="1900" w:type="dxa"/>
            <w:vAlign w:val="bottom"/>
            <w:gridSpan w:val="5"/>
          </w:tcPr>
          <w:p>
            <w:pPr>
              <w:spacing w:after="0"/>
              <w:rPr>
                <w:sz w:val="20"/>
                <w:szCs w:val="20"/>
                <w:color w:val="auto"/>
              </w:rPr>
            </w:pPr>
            <w:r>
              <w:rPr>
                <w:rFonts w:ascii="Times New Roman" w:cs="Times New Roman" w:eastAsia="Times New Roman" w:hAnsi="Times New Roman"/>
                <w:sz w:val="11"/>
                <w:szCs w:val="11"/>
                <w:b w:val="1"/>
                <w:bCs w:val="1"/>
                <w:color w:val="auto"/>
              </w:rPr>
              <w:t>Trust Indenture</w:t>
            </w:r>
          </w:p>
        </w:tc>
        <w:tc>
          <w:tcPr>
            <w:tcW w:w="4220" w:type="dxa"/>
            <w:vAlign w:val="bottom"/>
            <w:gridSpan w:val="3"/>
            <w:vMerge w:val="restart"/>
          </w:tcPr>
          <w:p>
            <w:pPr>
              <w:ind w:left="2620"/>
              <w:spacing w:after="0"/>
              <w:rPr>
                <w:sz w:val="20"/>
                <w:szCs w:val="20"/>
                <w:color w:val="auto"/>
              </w:rPr>
            </w:pPr>
            <w:r>
              <w:rPr>
                <w:rFonts w:ascii="Times New Roman" w:cs="Times New Roman" w:eastAsia="Times New Roman" w:hAnsi="Times New Roman"/>
                <w:sz w:val="11"/>
                <w:szCs w:val="11"/>
                <w:b w:val="1"/>
                <w:bCs w:val="1"/>
                <w:color w:val="auto"/>
              </w:rPr>
              <w:t>Indenture Section</w:t>
            </w:r>
          </w:p>
        </w:tc>
        <w:tc>
          <w:tcPr>
            <w:tcW w:w="0" w:type="dxa"/>
            <w:vAlign w:val="bottom"/>
          </w:tcPr>
          <w:p>
            <w:pPr>
              <w:spacing w:after="0"/>
              <w:rPr>
                <w:sz w:val="1"/>
                <w:szCs w:val="1"/>
                <w:color w:val="auto"/>
              </w:rPr>
            </w:pPr>
          </w:p>
        </w:tc>
      </w:tr>
      <w:tr>
        <w:trPr>
          <w:trHeight w:val="136"/>
        </w:trPr>
        <w:tc>
          <w:tcPr>
            <w:tcW w:w="1900" w:type="dxa"/>
            <w:vAlign w:val="bottom"/>
            <w:gridSpan w:val="5"/>
          </w:tcPr>
          <w:p>
            <w:pPr>
              <w:spacing w:after="0"/>
              <w:rPr>
                <w:sz w:val="20"/>
                <w:szCs w:val="20"/>
                <w:color w:val="auto"/>
              </w:rPr>
            </w:pPr>
            <w:r>
              <w:rPr>
                <w:rFonts w:ascii="Times New Roman" w:cs="Times New Roman" w:eastAsia="Times New Roman" w:hAnsi="Times New Roman"/>
                <w:sz w:val="11"/>
                <w:szCs w:val="11"/>
                <w:b w:val="1"/>
                <w:bCs w:val="1"/>
                <w:color w:val="auto"/>
              </w:rPr>
              <w:t>Act Section</w:t>
            </w:r>
          </w:p>
        </w:tc>
        <w:tc>
          <w:tcPr>
            <w:tcW w:w="422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340" w:type="dxa"/>
            <w:vAlign w:val="bottom"/>
            <w:tcBorders>
              <w:top w:val="single" w:sz="8" w:color="auto"/>
            </w:tcBorders>
            <w:gridSpan w:val="3"/>
          </w:tcPr>
          <w:p>
            <w:pPr>
              <w:spacing w:after="0" w:line="146" w:lineRule="exact"/>
              <w:rPr>
                <w:sz w:val="20"/>
                <w:szCs w:val="20"/>
                <w:color w:val="auto"/>
              </w:rPr>
            </w:pPr>
            <w:r>
              <w:rPr>
                <w:rFonts w:ascii="Times New Roman" w:cs="Times New Roman" w:eastAsia="Times New Roman" w:hAnsi="Times New Roman"/>
                <w:sz w:val="14"/>
                <w:szCs w:val="14"/>
                <w:color w:val="auto"/>
              </w:rPr>
              <w:t>§ 310</w:t>
            </w:r>
          </w:p>
        </w:tc>
        <w:tc>
          <w:tcPr>
            <w:tcW w:w="220" w:type="dxa"/>
            <w:vAlign w:val="bottom"/>
            <w:tcBorders>
              <w:top w:val="single" w:sz="8" w:color="auto"/>
            </w:tcBorders>
          </w:tcPr>
          <w:p>
            <w:pPr>
              <w:ind w:left="20"/>
              <w:spacing w:after="0" w:line="146" w:lineRule="exact"/>
              <w:rPr>
                <w:sz w:val="20"/>
                <w:szCs w:val="20"/>
                <w:color w:val="auto"/>
              </w:rPr>
            </w:pPr>
            <w:r>
              <w:rPr>
                <w:rFonts w:ascii="Times New Roman" w:cs="Times New Roman" w:eastAsia="Times New Roman" w:hAnsi="Times New Roman"/>
                <w:sz w:val="14"/>
                <w:szCs w:val="14"/>
                <w:color w:val="auto"/>
              </w:rPr>
              <w:t>(a)</w:t>
            </w:r>
          </w:p>
        </w:tc>
        <w:tc>
          <w:tcPr>
            <w:tcW w:w="134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880" w:type="dxa"/>
            <w:vAlign w:val="bottom"/>
            <w:tcBorders>
              <w:top w:val="single" w:sz="8" w:color="auto"/>
            </w:tcBorders>
          </w:tcPr>
          <w:p>
            <w:pPr>
              <w:spacing w:after="0" w:line="146" w:lineRule="exact"/>
              <w:rPr>
                <w:sz w:val="20"/>
                <w:szCs w:val="20"/>
                <w:color w:val="auto"/>
              </w:rPr>
            </w:pPr>
            <w:r>
              <w:rPr>
                <w:rFonts w:ascii="Times New Roman" w:cs="Times New Roman" w:eastAsia="Times New Roman" w:hAnsi="Times New Roman"/>
                <w:sz w:val="14"/>
                <w:szCs w:val="14"/>
                <w:color w:val="auto"/>
              </w:rPr>
              <w:t>11.04(a), 16.02</w:t>
            </w: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100" w:type="dxa"/>
            <w:vAlign w:val="bottom"/>
          </w:tcPr>
          <w:p>
            <w:pPr>
              <w:spacing w:after="0"/>
              <w:rPr>
                <w:sz w:val="20"/>
                <w:szCs w:val="20"/>
                <w:color w:val="auto"/>
              </w:rPr>
            </w:pPr>
            <w:r>
              <w:rPr>
                <w:rFonts w:ascii="Times New Roman" w:cs="Times New Roman" w:eastAsia="Times New Roman" w:hAnsi="Times New Roman"/>
                <w:sz w:val="11"/>
                <w:szCs w:val="11"/>
                <w:color w:val="auto"/>
                <w:w w:val="72"/>
              </w:rPr>
              <w:t> </w:t>
            </w:r>
          </w:p>
        </w:tc>
        <w:tc>
          <w:tcPr>
            <w:tcW w:w="140" w:type="dxa"/>
            <w:vAlign w:val="bottom"/>
          </w:tcPr>
          <w:p>
            <w:pPr>
              <w:ind w:left="40"/>
              <w:spacing w:after="0"/>
              <w:rPr>
                <w:sz w:val="20"/>
                <w:szCs w:val="20"/>
                <w:color w:val="auto"/>
              </w:rPr>
            </w:pPr>
            <w:r>
              <w:rPr>
                <w:rFonts w:ascii="Times New Roman" w:cs="Times New Roman" w:eastAsia="Times New Roman" w:hAnsi="Times New Roman"/>
                <w:sz w:val="11"/>
                <w:szCs w:val="11"/>
                <w:color w:val="auto"/>
                <w:w w:val="72"/>
              </w:rPr>
              <w:t> </w:t>
            </w:r>
          </w:p>
        </w:tc>
        <w:tc>
          <w:tcPr>
            <w:tcW w:w="1660" w:type="dxa"/>
            <w:vAlign w:val="bottom"/>
            <w:gridSpan w:val="3"/>
          </w:tcPr>
          <w:p>
            <w:pPr>
              <w:ind w:left="40"/>
              <w:spacing w:after="0"/>
              <w:rPr>
                <w:sz w:val="20"/>
                <w:szCs w:val="20"/>
                <w:color w:val="auto"/>
              </w:rPr>
            </w:pPr>
            <w:r>
              <w:rPr>
                <w:rFonts w:ascii="Times New Roman" w:cs="Times New Roman" w:eastAsia="Times New Roman" w:hAnsi="Times New Roman"/>
                <w:sz w:val="14"/>
                <w:szCs w:val="14"/>
                <w:color w:val="auto"/>
              </w:rPr>
              <w:t>  (b)</w:t>
            </w:r>
          </w:p>
        </w:tc>
        <w:tc>
          <w:tcPr>
            <w:tcW w:w="4220" w:type="dxa"/>
            <w:vAlign w:val="bottom"/>
            <w:gridSpan w:val="3"/>
          </w:tcPr>
          <w:p>
            <w:pPr>
              <w:ind w:left="2620"/>
              <w:spacing w:after="0"/>
              <w:rPr>
                <w:sz w:val="20"/>
                <w:szCs w:val="20"/>
                <w:color w:val="auto"/>
              </w:rPr>
            </w:pPr>
            <w:r>
              <w:rPr>
                <w:rFonts w:ascii="Times New Roman" w:cs="Times New Roman" w:eastAsia="Times New Roman" w:hAnsi="Times New Roman"/>
                <w:sz w:val="14"/>
                <w:szCs w:val="14"/>
                <w:color w:val="auto"/>
                <w:w w:val="99"/>
              </w:rPr>
              <w:t>11.01(f), 11.04(b), 11.05(1),</w:t>
            </w:r>
          </w:p>
        </w:tc>
        <w:tc>
          <w:tcPr>
            <w:tcW w:w="0" w:type="dxa"/>
            <w:vAlign w:val="bottom"/>
          </w:tcPr>
          <w:p>
            <w:pPr>
              <w:spacing w:after="0"/>
              <w:rPr>
                <w:sz w:val="1"/>
                <w:szCs w:val="1"/>
                <w:color w:val="auto"/>
              </w:rPr>
            </w:pPr>
          </w:p>
        </w:tc>
      </w:tr>
      <w:tr>
        <w:trPr>
          <w:trHeight w:val="170"/>
        </w:trPr>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3500" w:type="dxa"/>
            <w:vAlign w:val="bottom"/>
            <w:gridSpan w:val="2"/>
          </w:tcPr>
          <w:p>
            <w:pPr>
              <w:ind w:left="2620"/>
              <w:spacing w:after="0"/>
              <w:rPr>
                <w:sz w:val="20"/>
                <w:szCs w:val="20"/>
                <w:color w:val="auto"/>
              </w:rPr>
            </w:pPr>
            <w:r>
              <w:rPr>
                <w:rFonts w:ascii="Times New Roman" w:cs="Times New Roman" w:eastAsia="Times New Roman" w:hAnsi="Times New Roman"/>
                <w:sz w:val="14"/>
                <w:szCs w:val="14"/>
                <w:color w:val="auto"/>
              </w:rPr>
              <w:t>16.02</w:t>
            </w: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100" w:type="dxa"/>
            <w:vAlign w:val="bottom"/>
          </w:tcPr>
          <w:p>
            <w:pPr>
              <w:spacing w:after="0"/>
              <w:rPr>
                <w:sz w:val="20"/>
                <w:szCs w:val="20"/>
                <w:color w:val="auto"/>
              </w:rPr>
            </w:pPr>
            <w:r>
              <w:rPr>
                <w:rFonts w:ascii="Times New Roman" w:cs="Times New Roman" w:eastAsia="Times New Roman" w:hAnsi="Times New Roman"/>
                <w:sz w:val="11"/>
                <w:szCs w:val="11"/>
                <w:color w:val="auto"/>
                <w:w w:val="72"/>
              </w:rPr>
              <w:t> </w:t>
            </w:r>
          </w:p>
        </w:tc>
        <w:tc>
          <w:tcPr>
            <w:tcW w:w="140" w:type="dxa"/>
            <w:vAlign w:val="bottom"/>
          </w:tcPr>
          <w:p>
            <w:pPr>
              <w:ind w:left="40"/>
              <w:spacing w:after="0"/>
              <w:rPr>
                <w:sz w:val="20"/>
                <w:szCs w:val="20"/>
                <w:color w:val="auto"/>
              </w:rPr>
            </w:pPr>
            <w:r>
              <w:rPr>
                <w:rFonts w:ascii="Times New Roman" w:cs="Times New Roman" w:eastAsia="Times New Roman" w:hAnsi="Times New Roman"/>
                <w:sz w:val="11"/>
                <w:szCs w:val="11"/>
                <w:color w:val="auto"/>
                <w:w w:val="72"/>
              </w:rPr>
              <w:t> </w:t>
            </w:r>
          </w:p>
        </w:tc>
        <w:tc>
          <w:tcPr>
            <w:tcW w:w="1660" w:type="dxa"/>
            <w:vAlign w:val="bottom"/>
            <w:gridSpan w:val="3"/>
          </w:tcPr>
          <w:p>
            <w:pPr>
              <w:ind w:left="40"/>
              <w:spacing w:after="0"/>
              <w:rPr>
                <w:sz w:val="20"/>
                <w:szCs w:val="20"/>
                <w:color w:val="auto"/>
              </w:rPr>
            </w:pPr>
            <w:r>
              <w:rPr>
                <w:rFonts w:ascii="Times New Roman" w:cs="Times New Roman" w:eastAsia="Times New Roman" w:hAnsi="Times New Roman"/>
                <w:sz w:val="14"/>
                <w:szCs w:val="14"/>
                <w:color w:val="auto"/>
              </w:rPr>
              <w:t>  (b)(1)</w:t>
            </w:r>
          </w:p>
        </w:tc>
        <w:tc>
          <w:tcPr>
            <w:tcW w:w="4220" w:type="dxa"/>
            <w:vAlign w:val="bottom"/>
            <w:gridSpan w:val="3"/>
          </w:tcPr>
          <w:p>
            <w:pPr>
              <w:ind w:left="2620"/>
              <w:spacing w:after="0"/>
              <w:rPr>
                <w:sz w:val="20"/>
                <w:szCs w:val="20"/>
                <w:color w:val="auto"/>
              </w:rPr>
            </w:pPr>
            <w:r>
              <w:rPr>
                <w:rFonts w:ascii="Times New Roman" w:cs="Times New Roman" w:eastAsia="Times New Roman" w:hAnsi="Times New Roman"/>
                <w:sz w:val="14"/>
                <w:szCs w:val="14"/>
                <w:color w:val="auto"/>
              </w:rPr>
              <w:t>11.04(b), 16.02</w:t>
            </w:r>
          </w:p>
        </w:tc>
        <w:tc>
          <w:tcPr>
            <w:tcW w:w="0" w:type="dxa"/>
            <w:vAlign w:val="bottom"/>
          </w:tcPr>
          <w:p>
            <w:pPr>
              <w:spacing w:after="0"/>
              <w:rPr>
                <w:sz w:val="1"/>
                <w:szCs w:val="1"/>
                <w:color w:val="auto"/>
              </w:rPr>
            </w:pPr>
          </w:p>
        </w:tc>
      </w:tr>
      <w:tr>
        <w:trPr>
          <w:trHeight w:val="170"/>
        </w:trPr>
        <w:tc>
          <w:tcPr>
            <w:tcW w:w="34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 311</w:t>
            </w:r>
          </w:p>
        </w:tc>
        <w:tc>
          <w:tcPr>
            <w:tcW w:w="2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4220" w:type="dxa"/>
            <w:vAlign w:val="bottom"/>
            <w:gridSpan w:val="3"/>
          </w:tcPr>
          <w:p>
            <w:pPr>
              <w:ind w:left="2620"/>
              <w:spacing w:after="0"/>
              <w:rPr>
                <w:sz w:val="20"/>
                <w:szCs w:val="20"/>
                <w:color w:val="auto"/>
              </w:rPr>
            </w:pPr>
            <w:r>
              <w:rPr>
                <w:rFonts w:ascii="Times New Roman" w:cs="Times New Roman" w:eastAsia="Times New Roman" w:hAnsi="Times New Roman"/>
                <w:sz w:val="14"/>
                <w:szCs w:val="14"/>
                <w:color w:val="auto"/>
              </w:rPr>
              <w:t>11.01(f), 16.02</w:t>
            </w:r>
          </w:p>
        </w:tc>
        <w:tc>
          <w:tcPr>
            <w:tcW w:w="0" w:type="dxa"/>
            <w:vAlign w:val="bottom"/>
          </w:tcPr>
          <w:p>
            <w:pPr>
              <w:spacing w:after="0"/>
              <w:rPr>
                <w:sz w:val="1"/>
                <w:szCs w:val="1"/>
                <w:color w:val="auto"/>
              </w:rPr>
            </w:pPr>
          </w:p>
        </w:tc>
      </w:tr>
      <w:tr>
        <w:trPr>
          <w:trHeight w:val="170"/>
        </w:trPr>
        <w:tc>
          <w:tcPr>
            <w:tcW w:w="34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 312</w:t>
            </w:r>
          </w:p>
        </w:tc>
        <w:tc>
          <w:tcPr>
            <w:tcW w:w="2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4220" w:type="dxa"/>
            <w:vAlign w:val="bottom"/>
            <w:gridSpan w:val="3"/>
          </w:tcPr>
          <w:p>
            <w:pPr>
              <w:ind w:left="2620"/>
              <w:spacing w:after="0"/>
              <w:rPr>
                <w:sz w:val="20"/>
                <w:szCs w:val="20"/>
                <w:color w:val="auto"/>
              </w:rPr>
            </w:pPr>
            <w:r>
              <w:rPr>
                <w:rFonts w:ascii="Times New Roman" w:cs="Times New Roman" w:eastAsia="Times New Roman" w:hAnsi="Times New Roman"/>
                <w:sz w:val="14"/>
                <w:szCs w:val="14"/>
                <w:color w:val="auto"/>
              </w:rPr>
              <w:t>14.02(d), 16.02</w:t>
            </w:r>
          </w:p>
        </w:tc>
        <w:tc>
          <w:tcPr>
            <w:tcW w:w="0" w:type="dxa"/>
            <w:vAlign w:val="bottom"/>
          </w:tcPr>
          <w:p>
            <w:pPr>
              <w:spacing w:after="0"/>
              <w:rPr>
                <w:sz w:val="1"/>
                <w:szCs w:val="1"/>
                <w:color w:val="auto"/>
              </w:rPr>
            </w:pPr>
          </w:p>
        </w:tc>
      </w:tr>
      <w:tr>
        <w:trPr>
          <w:trHeight w:val="170"/>
        </w:trPr>
        <w:tc>
          <w:tcPr>
            <w:tcW w:w="100" w:type="dxa"/>
            <w:vAlign w:val="bottom"/>
          </w:tcPr>
          <w:p>
            <w:pPr>
              <w:spacing w:after="0"/>
              <w:rPr>
                <w:sz w:val="20"/>
                <w:szCs w:val="20"/>
                <w:color w:val="auto"/>
              </w:rPr>
            </w:pPr>
            <w:r>
              <w:rPr>
                <w:rFonts w:ascii="Times New Roman" w:cs="Times New Roman" w:eastAsia="Times New Roman" w:hAnsi="Times New Roman"/>
                <w:sz w:val="11"/>
                <w:szCs w:val="11"/>
                <w:color w:val="auto"/>
                <w:w w:val="72"/>
              </w:rPr>
              <w:t> </w:t>
            </w:r>
          </w:p>
        </w:tc>
        <w:tc>
          <w:tcPr>
            <w:tcW w:w="140" w:type="dxa"/>
            <w:vAlign w:val="bottom"/>
          </w:tcPr>
          <w:p>
            <w:pPr>
              <w:ind w:left="40"/>
              <w:spacing w:after="0"/>
              <w:rPr>
                <w:sz w:val="20"/>
                <w:szCs w:val="20"/>
                <w:color w:val="auto"/>
              </w:rPr>
            </w:pPr>
            <w:r>
              <w:rPr>
                <w:rFonts w:ascii="Times New Roman" w:cs="Times New Roman" w:eastAsia="Times New Roman" w:hAnsi="Times New Roman"/>
                <w:sz w:val="11"/>
                <w:szCs w:val="11"/>
                <w:color w:val="auto"/>
                <w:w w:val="72"/>
              </w:rPr>
              <w:t> </w:t>
            </w:r>
          </w:p>
        </w:tc>
        <w:tc>
          <w:tcPr>
            <w:tcW w:w="1660" w:type="dxa"/>
            <w:vAlign w:val="bottom"/>
            <w:gridSpan w:val="3"/>
          </w:tcPr>
          <w:p>
            <w:pPr>
              <w:ind w:left="40"/>
              <w:spacing w:after="0"/>
              <w:rPr>
                <w:sz w:val="20"/>
                <w:szCs w:val="20"/>
                <w:color w:val="auto"/>
              </w:rPr>
            </w:pPr>
            <w:r>
              <w:rPr>
                <w:rFonts w:ascii="Times New Roman" w:cs="Times New Roman" w:eastAsia="Times New Roman" w:hAnsi="Times New Roman"/>
                <w:sz w:val="14"/>
                <w:szCs w:val="14"/>
                <w:color w:val="auto"/>
              </w:rPr>
              <w:t>  (b)</w:t>
            </w:r>
          </w:p>
        </w:tc>
        <w:tc>
          <w:tcPr>
            <w:tcW w:w="3500" w:type="dxa"/>
            <w:vAlign w:val="bottom"/>
            <w:gridSpan w:val="2"/>
          </w:tcPr>
          <w:p>
            <w:pPr>
              <w:ind w:left="2620"/>
              <w:spacing w:after="0"/>
              <w:rPr>
                <w:sz w:val="20"/>
                <w:szCs w:val="20"/>
                <w:color w:val="auto"/>
              </w:rPr>
            </w:pPr>
            <w:r>
              <w:rPr>
                <w:rFonts w:ascii="Times New Roman" w:cs="Times New Roman" w:eastAsia="Times New Roman" w:hAnsi="Times New Roman"/>
                <w:sz w:val="14"/>
                <w:szCs w:val="14"/>
                <w:color w:val="auto"/>
              </w:rPr>
              <w:t>11.10, 16.02</w:t>
            </w: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100" w:type="dxa"/>
            <w:vAlign w:val="bottom"/>
          </w:tcPr>
          <w:p>
            <w:pPr>
              <w:spacing w:after="0"/>
              <w:rPr>
                <w:sz w:val="20"/>
                <w:szCs w:val="20"/>
                <w:color w:val="auto"/>
              </w:rPr>
            </w:pPr>
            <w:r>
              <w:rPr>
                <w:rFonts w:ascii="Times New Roman" w:cs="Times New Roman" w:eastAsia="Times New Roman" w:hAnsi="Times New Roman"/>
                <w:sz w:val="11"/>
                <w:szCs w:val="11"/>
                <w:color w:val="auto"/>
                <w:w w:val="72"/>
              </w:rPr>
              <w:t> </w:t>
            </w:r>
          </w:p>
        </w:tc>
        <w:tc>
          <w:tcPr>
            <w:tcW w:w="140" w:type="dxa"/>
            <w:vAlign w:val="bottom"/>
          </w:tcPr>
          <w:p>
            <w:pPr>
              <w:ind w:left="40"/>
              <w:spacing w:after="0"/>
              <w:rPr>
                <w:sz w:val="20"/>
                <w:szCs w:val="20"/>
                <w:color w:val="auto"/>
              </w:rPr>
            </w:pPr>
            <w:r>
              <w:rPr>
                <w:rFonts w:ascii="Times New Roman" w:cs="Times New Roman" w:eastAsia="Times New Roman" w:hAnsi="Times New Roman"/>
                <w:sz w:val="11"/>
                <w:szCs w:val="11"/>
                <w:color w:val="auto"/>
                <w:w w:val="72"/>
              </w:rPr>
              <w:t> </w:t>
            </w:r>
          </w:p>
        </w:tc>
        <w:tc>
          <w:tcPr>
            <w:tcW w:w="1660" w:type="dxa"/>
            <w:vAlign w:val="bottom"/>
            <w:gridSpan w:val="3"/>
          </w:tcPr>
          <w:p>
            <w:pPr>
              <w:ind w:left="40"/>
              <w:spacing w:after="0"/>
              <w:rPr>
                <w:sz w:val="20"/>
                <w:szCs w:val="20"/>
                <w:color w:val="auto"/>
              </w:rPr>
            </w:pPr>
            <w:r>
              <w:rPr>
                <w:rFonts w:ascii="Times New Roman" w:cs="Times New Roman" w:eastAsia="Times New Roman" w:hAnsi="Times New Roman"/>
                <w:sz w:val="14"/>
                <w:szCs w:val="14"/>
                <w:color w:val="auto"/>
              </w:rPr>
              <w:t>  (c)</w:t>
            </w:r>
          </w:p>
        </w:tc>
        <w:tc>
          <w:tcPr>
            <w:tcW w:w="3500" w:type="dxa"/>
            <w:vAlign w:val="bottom"/>
            <w:gridSpan w:val="2"/>
          </w:tcPr>
          <w:p>
            <w:pPr>
              <w:ind w:left="2620"/>
              <w:spacing w:after="0"/>
              <w:rPr>
                <w:sz w:val="20"/>
                <w:szCs w:val="20"/>
                <w:color w:val="auto"/>
              </w:rPr>
            </w:pPr>
            <w:r>
              <w:rPr>
                <w:rFonts w:ascii="Times New Roman" w:cs="Times New Roman" w:eastAsia="Times New Roman" w:hAnsi="Times New Roman"/>
                <w:sz w:val="14"/>
                <w:szCs w:val="14"/>
                <w:color w:val="auto"/>
              </w:rPr>
              <w:t>11.10, 16.02</w:t>
            </w: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1900" w:type="dxa"/>
            <w:vAlign w:val="bottom"/>
            <w:gridSpan w:val="5"/>
          </w:tcPr>
          <w:p>
            <w:pPr>
              <w:spacing w:after="0"/>
              <w:rPr>
                <w:sz w:val="20"/>
                <w:szCs w:val="20"/>
                <w:color w:val="auto"/>
              </w:rPr>
            </w:pPr>
            <w:r>
              <w:rPr>
                <w:rFonts w:ascii="Times New Roman" w:cs="Times New Roman" w:eastAsia="Times New Roman" w:hAnsi="Times New Roman"/>
                <w:sz w:val="14"/>
                <w:szCs w:val="14"/>
                <w:color w:val="auto"/>
              </w:rPr>
              <w:t>§ 313 (a)</w:t>
            </w:r>
          </w:p>
        </w:tc>
        <w:tc>
          <w:tcPr>
            <w:tcW w:w="4220" w:type="dxa"/>
            <w:vAlign w:val="bottom"/>
            <w:gridSpan w:val="3"/>
          </w:tcPr>
          <w:p>
            <w:pPr>
              <w:ind w:left="2620"/>
              <w:spacing w:after="0"/>
              <w:rPr>
                <w:sz w:val="20"/>
                <w:szCs w:val="20"/>
                <w:color w:val="auto"/>
              </w:rPr>
            </w:pPr>
            <w:r>
              <w:rPr>
                <w:rFonts w:ascii="Times New Roman" w:cs="Times New Roman" w:eastAsia="Times New Roman" w:hAnsi="Times New Roman"/>
                <w:sz w:val="14"/>
                <w:szCs w:val="14"/>
                <w:color w:val="auto"/>
              </w:rPr>
              <w:t>10.01(a), 16.02</w:t>
            </w:r>
          </w:p>
        </w:tc>
        <w:tc>
          <w:tcPr>
            <w:tcW w:w="0" w:type="dxa"/>
            <w:vAlign w:val="bottom"/>
          </w:tcPr>
          <w:p>
            <w:pPr>
              <w:spacing w:after="0"/>
              <w:rPr>
                <w:sz w:val="1"/>
                <w:szCs w:val="1"/>
                <w:color w:val="auto"/>
              </w:rPr>
            </w:pPr>
          </w:p>
        </w:tc>
      </w:tr>
      <w:tr>
        <w:trPr>
          <w:trHeight w:val="170"/>
        </w:trPr>
        <w:tc>
          <w:tcPr>
            <w:tcW w:w="34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 314</w:t>
            </w:r>
          </w:p>
        </w:tc>
        <w:tc>
          <w:tcPr>
            <w:tcW w:w="2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3500" w:type="dxa"/>
            <w:vAlign w:val="bottom"/>
            <w:gridSpan w:val="2"/>
          </w:tcPr>
          <w:p>
            <w:pPr>
              <w:ind w:left="2620"/>
              <w:spacing w:after="0"/>
              <w:rPr>
                <w:sz w:val="20"/>
                <w:szCs w:val="20"/>
                <w:color w:val="auto"/>
              </w:rPr>
            </w:pPr>
            <w:r>
              <w:rPr>
                <w:rFonts w:ascii="Times New Roman" w:cs="Times New Roman" w:eastAsia="Times New Roman" w:hAnsi="Times New Roman"/>
                <w:sz w:val="14"/>
                <w:szCs w:val="14"/>
                <w:color w:val="auto"/>
              </w:rPr>
              <w:t>16.02</w:t>
            </w: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1900" w:type="dxa"/>
            <w:vAlign w:val="bottom"/>
            <w:gridSpan w:val="5"/>
          </w:tcPr>
          <w:p>
            <w:pPr>
              <w:spacing w:after="0"/>
              <w:rPr>
                <w:sz w:val="20"/>
                <w:szCs w:val="20"/>
                <w:color w:val="auto"/>
              </w:rPr>
            </w:pPr>
            <w:r>
              <w:rPr>
                <w:rFonts w:ascii="Times New Roman" w:cs="Times New Roman" w:eastAsia="Times New Roman" w:hAnsi="Times New Roman"/>
                <w:sz w:val="14"/>
                <w:szCs w:val="14"/>
                <w:color w:val="auto"/>
              </w:rPr>
              <w:t>§ 315 (e)</w:t>
            </w:r>
          </w:p>
        </w:tc>
        <w:tc>
          <w:tcPr>
            <w:tcW w:w="3500" w:type="dxa"/>
            <w:vAlign w:val="bottom"/>
            <w:gridSpan w:val="2"/>
          </w:tcPr>
          <w:p>
            <w:pPr>
              <w:ind w:left="2620"/>
              <w:spacing w:after="0"/>
              <w:rPr>
                <w:sz w:val="20"/>
                <w:szCs w:val="20"/>
                <w:color w:val="auto"/>
              </w:rPr>
            </w:pPr>
            <w:r>
              <w:rPr>
                <w:rFonts w:ascii="Times New Roman" w:cs="Times New Roman" w:eastAsia="Times New Roman" w:hAnsi="Times New Roman"/>
                <w:sz w:val="14"/>
                <w:szCs w:val="14"/>
                <w:color w:val="auto"/>
              </w:rPr>
              <w:t>11.05, 16.02</w:t>
            </w: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4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 316</w:t>
            </w:r>
          </w:p>
        </w:tc>
        <w:tc>
          <w:tcPr>
            <w:tcW w:w="2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3500" w:type="dxa"/>
            <w:vAlign w:val="bottom"/>
            <w:gridSpan w:val="2"/>
          </w:tcPr>
          <w:p>
            <w:pPr>
              <w:ind w:left="2620"/>
              <w:spacing w:after="0"/>
              <w:rPr>
                <w:sz w:val="20"/>
                <w:szCs w:val="20"/>
                <w:color w:val="auto"/>
              </w:rPr>
            </w:pPr>
            <w:r>
              <w:rPr>
                <w:rFonts w:ascii="Times New Roman" w:cs="Times New Roman" w:eastAsia="Times New Roman" w:hAnsi="Times New Roman"/>
                <w:sz w:val="14"/>
                <w:szCs w:val="14"/>
                <w:color w:val="auto"/>
              </w:rPr>
              <w:t>16.02</w:t>
            </w: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4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 317</w:t>
            </w:r>
          </w:p>
        </w:tc>
        <w:tc>
          <w:tcPr>
            <w:tcW w:w="2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3500" w:type="dxa"/>
            <w:vAlign w:val="bottom"/>
            <w:gridSpan w:val="2"/>
          </w:tcPr>
          <w:p>
            <w:pPr>
              <w:ind w:left="2620"/>
              <w:spacing w:after="0"/>
              <w:rPr>
                <w:sz w:val="20"/>
                <w:szCs w:val="20"/>
                <w:color w:val="auto"/>
              </w:rPr>
            </w:pPr>
            <w:r>
              <w:rPr>
                <w:rFonts w:ascii="Times New Roman" w:cs="Times New Roman" w:eastAsia="Times New Roman" w:hAnsi="Times New Roman"/>
                <w:sz w:val="14"/>
                <w:szCs w:val="14"/>
                <w:color w:val="auto"/>
              </w:rPr>
              <w:t>16.02</w:t>
            </w: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34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 318</w:t>
            </w:r>
          </w:p>
        </w:tc>
        <w:tc>
          <w:tcPr>
            <w:tcW w:w="2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3500" w:type="dxa"/>
            <w:vAlign w:val="bottom"/>
            <w:gridSpan w:val="2"/>
          </w:tcPr>
          <w:p>
            <w:pPr>
              <w:ind w:left="2620"/>
              <w:spacing w:after="0"/>
              <w:rPr>
                <w:sz w:val="20"/>
                <w:szCs w:val="20"/>
                <w:color w:val="auto"/>
              </w:rPr>
            </w:pPr>
            <w:r>
              <w:rPr>
                <w:rFonts w:ascii="Times New Roman" w:cs="Times New Roman" w:eastAsia="Times New Roman" w:hAnsi="Times New Roman"/>
                <w:sz w:val="14"/>
                <w:szCs w:val="14"/>
                <w:color w:val="auto"/>
              </w:rPr>
              <w:t>16.02</w:t>
            </w: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7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8">
                      <a:extLst>
                        <a:ext uri="{28A0092B-C50C-407E-A947-70E740481C1C}"/>
                      </a:extLst>
                    </a:blip>
                    <a:srcRect/>
                    <a:stretch>
                      <a:fillRect/>
                    </a:stretch>
                  </pic:blipFill>
                  <pic:spPr bwMode="auto">
                    <a:xfrm>
                      <a:off x="0" y="0"/>
                      <a:ext cx="7200265" cy="33020"/>
                    </a:xfrm>
                    <a:prstGeom prst="rect">
                      <a:avLst/>
                    </a:prstGeom>
                    <a:noFill/>
                  </pic:spPr>
                </pic:pic>
              </a:graphicData>
            </a:graphic>
          </wp:anchor>
        </w:drawing>
      </w:r>
    </w:p>
    <w:p>
      <w:pPr>
        <w:ind w:left="4480" w:right="3399" w:hanging="4317"/>
        <w:spacing w:after="0" w:line="463" w:lineRule="auto"/>
        <w:tabs>
          <w:tab w:leader="none" w:pos="329"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This reconciliation and tie shall not, for any purpose, be deemed to be a part of the Indenture. i</w:t>
      </w:r>
    </w:p>
    <w:p>
      <w:pPr>
        <w:sectPr>
          <w:pgSz w:w="11900" w:h="16838" w:orient="portrait"/>
          <w:cols w:equalWidth="0" w:num="1">
            <w:col w:w="9019"/>
          </w:cols>
          <w:pgMar w:left="1440" w:top="240" w:right="1440" w:bottom="1440" w:gutter="0" w:footer="0" w:header="0"/>
        </w:sectPr>
      </w:pPr>
    </w:p>
    <w:bookmarkStart w:id="29" w:name="page30"/>
    <w:bookmarkEnd w:id="29"/>
    <w:tbl>
      <w:tblPr>
        <w:tblLayout w:type="fixed"/>
        <w:tblInd w:w="160" w:type="dxa"/>
        <w:tblCellMar>
          <w:top w:w="0" w:type="dxa"/>
          <w:left w:w="0" w:type="dxa"/>
          <w:bottom w:w="0" w:type="dxa"/>
          <w:right w:w="0" w:type="dxa"/>
        </w:tblCellMar>
      </w:tblPr>
      <w:tr>
        <w:trPr>
          <w:trHeight w:val="287"/>
        </w:trPr>
        <w:tc>
          <w:tcPr>
            <w:tcW w:w="840" w:type="dxa"/>
            <w:vAlign w:val="bottom"/>
          </w:tcPr>
          <w:p>
            <w:pPr>
              <w:spacing w:after="0"/>
              <w:rPr>
                <w:sz w:val="24"/>
                <w:szCs w:val="24"/>
                <w:color w:val="auto"/>
              </w:rPr>
            </w:pPr>
          </w:p>
        </w:tc>
        <w:tc>
          <w:tcPr>
            <w:tcW w:w="5920" w:type="dxa"/>
            <w:vAlign w:val="bottom"/>
          </w:tcPr>
          <w:p>
            <w:pPr>
              <w:ind w:left="2720"/>
              <w:spacing w:after="0"/>
              <w:rPr>
                <w:sz w:val="20"/>
                <w:szCs w:val="20"/>
                <w:color w:val="auto"/>
              </w:rPr>
            </w:pPr>
            <w:r>
              <w:rPr>
                <w:rFonts w:ascii="Times New Roman" w:cs="Times New Roman" w:eastAsia="Times New Roman" w:hAnsi="Times New Roman"/>
                <w:sz w:val="14"/>
                <w:szCs w:val="14"/>
                <w:b w:val="1"/>
                <w:bCs w:val="1"/>
                <w:color w:val="auto"/>
              </w:rPr>
              <w:t>TABLE OF CONTENTS</w:t>
            </w:r>
            <w:r>
              <w:rPr>
                <w:rFonts w:ascii="Times New Roman" w:cs="Times New Roman" w:eastAsia="Times New Roman" w:hAnsi="Times New Roman"/>
                <w:sz w:val="21"/>
                <w:szCs w:val="21"/>
                <w:b w:val="1"/>
                <w:bCs w:val="1"/>
                <w:color w:val="auto"/>
                <w:vertAlign w:val="superscript"/>
              </w:rPr>
              <w:t>*</w:t>
            </w:r>
          </w:p>
        </w:tc>
        <w:tc>
          <w:tcPr>
            <w:tcW w:w="1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840" w:type="dxa"/>
            <w:vAlign w:val="bottom"/>
          </w:tcPr>
          <w:p>
            <w:pPr>
              <w:spacing w:after="0"/>
              <w:rPr>
                <w:sz w:val="19"/>
                <w:szCs w:val="19"/>
                <w:color w:val="auto"/>
              </w:rPr>
            </w:pPr>
          </w:p>
        </w:tc>
        <w:tc>
          <w:tcPr>
            <w:tcW w:w="5920" w:type="dxa"/>
            <w:vAlign w:val="bottom"/>
            <w:vMerge w:val="restart"/>
          </w:tcPr>
          <w:p>
            <w:pPr>
              <w:jc w:val="center"/>
              <w:ind w:left="969"/>
              <w:spacing w:after="0"/>
              <w:rPr>
                <w:sz w:val="20"/>
                <w:szCs w:val="20"/>
                <w:color w:val="auto"/>
              </w:rPr>
            </w:pPr>
            <w:r>
              <w:rPr>
                <w:rFonts w:ascii="Times New Roman" w:cs="Times New Roman" w:eastAsia="Times New Roman" w:hAnsi="Times New Roman"/>
                <w:sz w:val="14"/>
                <w:szCs w:val="14"/>
                <w:color w:val="auto"/>
              </w:rPr>
              <w:t>ARTICLE I</w:t>
            </w:r>
          </w:p>
        </w:tc>
        <w:tc>
          <w:tcPr>
            <w:tcW w:w="18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PAGE</w:t>
            </w:r>
          </w:p>
        </w:tc>
        <w:tc>
          <w:tcPr>
            <w:tcW w:w="0" w:type="dxa"/>
            <w:vAlign w:val="bottom"/>
          </w:tcPr>
          <w:p>
            <w:pPr>
              <w:spacing w:after="0"/>
              <w:rPr>
                <w:sz w:val="1"/>
                <w:szCs w:val="1"/>
                <w:color w:val="auto"/>
              </w:rPr>
            </w:pPr>
          </w:p>
        </w:tc>
      </w:tr>
      <w:tr>
        <w:trPr>
          <w:trHeight w:val="157"/>
        </w:trPr>
        <w:tc>
          <w:tcPr>
            <w:tcW w:w="840" w:type="dxa"/>
            <w:vAlign w:val="bottom"/>
          </w:tcPr>
          <w:p>
            <w:pPr>
              <w:spacing w:after="0"/>
              <w:rPr>
                <w:sz w:val="13"/>
                <w:szCs w:val="13"/>
                <w:color w:val="auto"/>
              </w:rPr>
            </w:pPr>
          </w:p>
        </w:tc>
        <w:tc>
          <w:tcPr>
            <w:tcW w:w="5920" w:type="dxa"/>
            <w:vAlign w:val="bottom"/>
            <w:vMerge w:val="continue"/>
          </w:tcPr>
          <w:p>
            <w:pPr>
              <w:spacing w:after="0"/>
              <w:rPr>
                <w:sz w:val="13"/>
                <w:szCs w:val="13"/>
                <w:color w:val="auto"/>
              </w:rPr>
            </w:pPr>
          </w:p>
        </w:tc>
        <w:tc>
          <w:tcPr>
            <w:tcW w:w="1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1"/>
        </w:trPr>
        <w:tc>
          <w:tcPr>
            <w:tcW w:w="840" w:type="dxa"/>
            <w:vAlign w:val="bottom"/>
          </w:tcPr>
          <w:p>
            <w:pPr>
              <w:spacing w:after="0"/>
              <w:rPr>
                <w:sz w:val="20"/>
                <w:szCs w:val="20"/>
                <w:color w:val="auto"/>
              </w:rPr>
            </w:pPr>
          </w:p>
        </w:tc>
        <w:tc>
          <w:tcPr>
            <w:tcW w:w="5920" w:type="dxa"/>
            <w:vAlign w:val="bottom"/>
          </w:tcPr>
          <w:p>
            <w:pPr>
              <w:jc w:val="center"/>
              <w:ind w:left="969"/>
              <w:spacing w:after="0"/>
              <w:rPr>
                <w:sz w:val="20"/>
                <w:szCs w:val="20"/>
                <w:color w:val="auto"/>
              </w:rPr>
            </w:pPr>
            <w:r>
              <w:rPr>
                <w:rFonts w:ascii="Times New Roman" w:cs="Times New Roman" w:eastAsia="Times New Roman" w:hAnsi="Times New Roman"/>
                <w:sz w:val="14"/>
                <w:szCs w:val="14"/>
                <w:color w:val="auto"/>
              </w:rPr>
              <w:t>DEFINITIONS</w:t>
            </w:r>
          </w:p>
        </w:tc>
        <w:tc>
          <w:tcPr>
            <w:tcW w:w="1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4"/>
        </w:trPr>
        <w:tc>
          <w:tcPr>
            <w:tcW w:w="840" w:type="dxa"/>
            <w:vAlign w:val="bottom"/>
          </w:tcPr>
          <w:p>
            <w:pPr>
              <w:spacing w:after="0"/>
              <w:rPr>
                <w:sz w:val="20"/>
                <w:szCs w:val="20"/>
                <w:color w:val="auto"/>
              </w:rPr>
            </w:pPr>
            <w:r>
              <w:rPr>
                <w:rFonts w:ascii="Times New Roman" w:cs="Times New Roman" w:eastAsia="Times New Roman" w:hAnsi="Times New Roman"/>
                <w:sz w:val="14"/>
                <w:szCs w:val="14"/>
                <w:color w:val="auto"/>
                <w:w w:val="93"/>
              </w:rPr>
              <w:t>Section 1.01  </w:t>
            </w:r>
          </w:p>
        </w:tc>
        <w:tc>
          <w:tcPr>
            <w:tcW w:w="59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Definitions</w:t>
            </w:r>
          </w:p>
        </w:tc>
        <w:tc>
          <w:tcPr>
            <w:tcW w:w="1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255"/>
        </w:trPr>
        <w:tc>
          <w:tcPr>
            <w:tcW w:w="840" w:type="dxa"/>
            <w:vAlign w:val="bottom"/>
          </w:tcPr>
          <w:p>
            <w:pPr>
              <w:spacing w:after="0"/>
              <w:rPr>
                <w:sz w:val="22"/>
                <w:szCs w:val="22"/>
                <w:color w:val="auto"/>
              </w:rPr>
            </w:pPr>
          </w:p>
        </w:tc>
        <w:tc>
          <w:tcPr>
            <w:tcW w:w="5920" w:type="dxa"/>
            <w:vAlign w:val="bottom"/>
          </w:tcPr>
          <w:p>
            <w:pPr>
              <w:jc w:val="center"/>
              <w:ind w:left="969"/>
              <w:spacing w:after="0"/>
              <w:rPr>
                <w:sz w:val="20"/>
                <w:szCs w:val="20"/>
                <w:color w:val="auto"/>
              </w:rPr>
            </w:pPr>
            <w:r>
              <w:rPr>
                <w:rFonts w:ascii="Times New Roman" w:cs="Times New Roman" w:eastAsia="Times New Roman" w:hAnsi="Times New Roman"/>
                <w:sz w:val="14"/>
                <w:szCs w:val="14"/>
                <w:color w:val="auto"/>
              </w:rPr>
              <w:t>ARTICLE II</w:t>
            </w:r>
          </w:p>
        </w:tc>
        <w:tc>
          <w:tcPr>
            <w:tcW w:w="18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1"/>
        </w:trPr>
        <w:tc>
          <w:tcPr>
            <w:tcW w:w="840" w:type="dxa"/>
            <w:vAlign w:val="bottom"/>
          </w:tcPr>
          <w:p>
            <w:pPr>
              <w:spacing w:after="0"/>
              <w:rPr>
                <w:sz w:val="20"/>
                <w:szCs w:val="20"/>
                <w:color w:val="auto"/>
              </w:rPr>
            </w:pPr>
          </w:p>
        </w:tc>
        <w:tc>
          <w:tcPr>
            <w:tcW w:w="5920" w:type="dxa"/>
            <w:vAlign w:val="bottom"/>
          </w:tcPr>
          <w:p>
            <w:pPr>
              <w:jc w:val="center"/>
              <w:ind w:left="989"/>
              <w:spacing w:after="0"/>
              <w:rPr>
                <w:sz w:val="20"/>
                <w:szCs w:val="20"/>
                <w:color w:val="auto"/>
              </w:rPr>
            </w:pPr>
            <w:r>
              <w:rPr>
                <w:rFonts w:ascii="Times New Roman" w:cs="Times New Roman" w:eastAsia="Times New Roman" w:hAnsi="Times New Roman"/>
                <w:sz w:val="14"/>
                <w:szCs w:val="14"/>
                <w:color w:val="auto"/>
              </w:rPr>
              <w:t>FORMS OF SECURITIES</w:t>
            </w:r>
          </w:p>
        </w:tc>
        <w:tc>
          <w:tcPr>
            <w:tcW w:w="1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0"/>
        </w:trPr>
        <w:tc>
          <w:tcPr>
            <w:tcW w:w="67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Section 2.01    Terms of the Securities</w:t>
            </w:r>
          </w:p>
        </w:tc>
        <w:tc>
          <w:tcPr>
            <w:tcW w:w="1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0" w:type="dxa"/>
            <w:vAlign w:val="bottom"/>
          </w:tcPr>
          <w:p>
            <w:pPr>
              <w:spacing w:after="0"/>
              <w:rPr>
                <w:sz w:val="1"/>
                <w:szCs w:val="1"/>
                <w:color w:val="auto"/>
              </w:rPr>
            </w:pPr>
          </w:p>
        </w:tc>
      </w:tr>
      <w:tr>
        <w:trPr>
          <w:trHeight w:val="170"/>
        </w:trPr>
        <w:tc>
          <w:tcPr>
            <w:tcW w:w="67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Section 2.02    Form of Trustee’s Certificate of Authentication</w:t>
            </w:r>
          </w:p>
        </w:tc>
        <w:tc>
          <w:tcPr>
            <w:tcW w:w="1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0" w:type="dxa"/>
            <w:vAlign w:val="bottom"/>
          </w:tcPr>
          <w:p>
            <w:pPr>
              <w:spacing w:after="0"/>
              <w:rPr>
                <w:sz w:val="1"/>
                <w:szCs w:val="1"/>
                <w:color w:val="auto"/>
              </w:rPr>
            </w:pPr>
          </w:p>
        </w:tc>
      </w:tr>
      <w:tr>
        <w:trPr>
          <w:trHeight w:val="184"/>
        </w:trPr>
        <w:tc>
          <w:tcPr>
            <w:tcW w:w="67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Section 2.03    Form of Trustee’s Certificate of Authentication by an Authenticating Agent</w:t>
            </w:r>
          </w:p>
        </w:tc>
        <w:tc>
          <w:tcPr>
            <w:tcW w:w="1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0" w:type="dxa"/>
            <w:vAlign w:val="bottom"/>
          </w:tcPr>
          <w:p>
            <w:pPr>
              <w:spacing w:after="0"/>
              <w:rPr>
                <w:sz w:val="1"/>
                <w:szCs w:val="1"/>
                <w:color w:val="auto"/>
              </w:rPr>
            </w:pPr>
          </w:p>
        </w:tc>
      </w:tr>
      <w:tr>
        <w:trPr>
          <w:trHeight w:val="255"/>
        </w:trPr>
        <w:tc>
          <w:tcPr>
            <w:tcW w:w="840" w:type="dxa"/>
            <w:vAlign w:val="bottom"/>
          </w:tcPr>
          <w:p>
            <w:pPr>
              <w:spacing w:after="0"/>
              <w:rPr>
                <w:sz w:val="22"/>
                <w:szCs w:val="22"/>
                <w:color w:val="auto"/>
              </w:rPr>
            </w:pPr>
          </w:p>
        </w:tc>
        <w:tc>
          <w:tcPr>
            <w:tcW w:w="5920" w:type="dxa"/>
            <w:vAlign w:val="bottom"/>
          </w:tcPr>
          <w:p>
            <w:pPr>
              <w:jc w:val="center"/>
              <w:ind w:left="969"/>
              <w:spacing w:after="0"/>
              <w:rPr>
                <w:sz w:val="20"/>
                <w:szCs w:val="20"/>
                <w:color w:val="auto"/>
              </w:rPr>
            </w:pPr>
            <w:r>
              <w:rPr>
                <w:rFonts w:ascii="Times New Roman" w:cs="Times New Roman" w:eastAsia="Times New Roman" w:hAnsi="Times New Roman"/>
                <w:sz w:val="14"/>
                <w:szCs w:val="14"/>
                <w:color w:val="auto"/>
                <w:w w:val="99"/>
              </w:rPr>
              <w:t>ARTICLE III</w:t>
            </w:r>
          </w:p>
        </w:tc>
        <w:tc>
          <w:tcPr>
            <w:tcW w:w="18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1"/>
        </w:trPr>
        <w:tc>
          <w:tcPr>
            <w:tcW w:w="840" w:type="dxa"/>
            <w:vAlign w:val="bottom"/>
          </w:tcPr>
          <w:p>
            <w:pPr>
              <w:spacing w:after="0"/>
              <w:rPr>
                <w:sz w:val="20"/>
                <w:szCs w:val="20"/>
                <w:color w:val="auto"/>
              </w:rPr>
            </w:pPr>
          </w:p>
        </w:tc>
        <w:tc>
          <w:tcPr>
            <w:tcW w:w="5920" w:type="dxa"/>
            <w:vAlign w:val="bottom"/>
          </w:tcPr>
          <w:p>
            <w:pPr>
              <w:jc w:val="center"/>
              <w:ind w:left="969"/>
              <w:spacing w:after="0"/>
              <w:rPr>
                <w:sz w:val="20"/>
                <w:szCs w:val="20"/>
                <w:color w:val="auto"/>
              </w:rPr>
            </w:pPr>
            <w:r>
              <w:rPr>
                <w:rFonts w:ascii="Times New Roman" w:cs="Times New Roman" w:eastAsia="Times New Roman" w:hAnsi="Times New Roman"/>
                <w:sz w:val="14"/>
                <w:szCs w:val="14"/>
                <w:color w:val="auto"/>
              </w:rPr>
              <w:t>THE DEBT SECURITIES</w:t>
            </w:r>
          </w:p>
        </w:tc>
        <w:tc>
          <w:tcPr>
            <w:tcW w:w="1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0"/>
        </w:trPr>
        <w:tc>
          <w:tcPr>
            <w:tcW w:w="67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Section 3.01    Amount Unlimited; Issuable in Series</w:t>
            </w:r>
          </w:p>
        </w:tc>
        <w:tc>
          <w:tcPr>
            <w:tcW w:w="1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0" w:type="dxa"/>
            <w:vAlign w:val="bottom"/>
          </w:tcPr>
          <w:p>
            <w:pPr>
              <w:spacing w:after="0"/>
              <w:rPr>
                <w:sz w:val="1"/>
                <w:szCs w:val="1"/>
                <w:color w:val="auto"/>
              </w:rPr>
            </w:pPr>
          </w:p>
        </w:tc>
      </w:tr>
      <w:tr>
        <w:trPr>
          <w:trHeight w:val="170"/>
        </w:trPr>
        <w:tc>
          <w:tcPr>
            <w:tcW w:w="840" w:type="dxa"/>
            <w:vAlign w:val="bottom"/>
          </w:tcPr>
          <w:p>
            <w:pPr>
              <w:spacing w:after="0"/>
              <w:rPr>
                <w:sz w:val="20"/>
                <w:szCs w:val="20"/>
                <w:color w:val="auto"/>
              </w:rPr>
            </w:pPr>
            <w:r>
              <w:rPr>
                <w:rFonts w:ascii="Times New Roman" w:cs="Times New Roman" w:eastAsia="Times New Roman" w:hAnsi="Times New Roman"/>
                <w:sz w:val="14"/>
                <w:szCs w:val="14"/>
                <w:color w:val="auto"/>
                <w:w w:val="93"/>
              </w:rPr>
              <w:t>Section 3.02  </w:t>
            </w:r>
          </w:p>
        </w:tc>
        <w:tc>
          <w:tcPr>
            <w:tcW w:w="59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Denominations</w:t>
            </w:r>
          </w:p>
        </w:tc>
        <w:tc>
          <w:tcPr>
            <w:tcW w:w="1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0" w:type="dxa"/>
            <w:vAlign w:val="bottom"/>
          </w:tcPr>
          <w:p>
            <w:pPr>
              <w:spacing w:after="0"/>
              <w:rPr>
                <w:sz w:val="1"/>
                <w:szCs w:val="1"/>
                <w:color w:val="auto"/>
              </w:rPr>
            </w:pPr>
          </w:p>
        </w:tc>
      </w:tr>
      <w:tr>
        <w:trPr>
          <w:trHeight w:val="170"/>
        </w:trPr>
        <w:tc>
          <w:tcPr>
            <w:tcW w:w="67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Section 3.03    Execution, Authentication, Delivery and Dating</w:t>
            </w:r>
          </w:p>
        </w:tc>
        <w:tc>
          <w:tcPr>
            <w:tcW w:w="1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0" w:type="dxa"/>
            <w:vAlign w:val="bottom"/>
          </w:tcPr>
          <w:p>
            <w:pPr>
              <w:spacing w:after="0"/>
              <w:rPr>
                <w:sz w:val="1"/>
                <w:szCs w:val="1"/>
                <w:color w:val="auto"/>
              </w:rPr>
            </w:pPr>
          </w:p>
        </w:tc>
      </w:tr>
      <w:tr>
        <w:trPr>
          <w:trHeight w:val="170"/>
        </w:trPr>
        <w:tc>
          <w:tcPr>
            <w:tcW w:w="840" w:type="dxa"/>
            <w:vAlign w:val="bottom"/>
          </w:tcPr>
          <w:p>
            <w:pPr>
              <w:spacing w:after="0"/>
              <w:rPr>
                <w:sz w:val="20"/>
                <w:szCs w:val="20"/>
                <w:color w:val="auto"/>
              </w:rPr>
            </w:pPr>
            <w:r>
              <w:rPr>
                <w:rFonts w:ascii="Times New Roman" w:cs="Times New Roman" w:eastAsia="Times New Roman" w:hAnsi="Times New Roman"/>
                <w:sz w:val="14"/>
                <w:szCs w:val="14"/>
                <w:color w:val="auto"/>
                <w:w w:val="93"/>
              </w:rPr>
              <w:t>Section 3.04  </w:t>
            </w:r>
          </w:p>
        </w:tc>
        <w:tc>
          <w:tcPr>
            <w:tcW w:w="59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Temporary Securities</w:t>
            </w:r>
          </w:p>
        </w:tc>
        <w:tc>
          <w:tcPr>
            <w:tcW w:w="1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0" w:type="dxa"/>
            <w:vAlign w:val="bottom"/>
          </w:tcPr>
          <w:p>
            <w:pPr>
              <w:spacing w:after="0"/>
              <w:rPr>
                <w:sz w:val="1"/>
                <w:szCs w:val="1"/>
                <w:color w:val="auto"/>
              </w:rPr>
            </w:pPr>
          </w:p>
        </w:tc>
      </w:tr>
      <w:tr>
        <w:trPr>
          <w:trHeight w:val="170"/>
        </w:trPr>
        <w:tc>
          <w:tcPr>
            <w:tcW w:w="840" w:type="dxa"/>
            <w:vAlign w:val="bottom"/>
          </w:tcPr>
          <w:p>
            <w:pPr>
              <w:spacing w:after="0"/>
              <w:rPr>
                <w:sz w:val="20"/>
                <w:szCs w:val="20"/>
                <w:color w:val="auto"/>
              </w:rPr>
            </w:pPr>
            <w:r>
              <w:rPr>
                <w:rFonts w:ascii="Times New Roman" w:cs="Times New Roman" w:eastAsia="Times New Roman" w:hAnsi="Times New Roman"/>
                <w:sz w:val="14"/>
                <w:szCs w:val="14"/>
                <w:color w:val="auto"/>
                <w:w w:val="93"/>
              </w:rPr>
              <w:t>Section 3.05  </w:t>
            </w:r>
          </w:p>
        </w:tc>
        <w:tc>
          <w:tcPr>
            <w:tcW w:w="59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Registrar</w:t>
            </w:r>
          </w:p>
        </w:tc>
        <w:tc>
          <w:tcPr>
            <w:tcW w:w="1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0" w:type="dxa"/>
            <w:vAlign w:val="bottom"/>
          </w:tcPr>
          <w:p>
            <w:pPr>
              <w:spacing w:after="0"/>
              <w:rPr>
                <w:sz w:val="1"/>
                <w:szCs w:val="1"/>
                <w:color w:val="auto"/>
              </w:rPr>
            </w:pPr>
          </w:p>
        </w:tc>
      </w:tr>
      <w:tr>
        <w:trPr>
          <w:trHeight w:val="170"/>
        </w:trPr>
        <w:tc>
          <w:tcPr>
            <w:tcW w:w="67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Section 3.06    Transfer and Exchange</w:t>
            </w:r>
          </w:p>
        </w:tc>
        <w:tc>
          <w:tcPr>
            <w:tcW w:w="1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0" w:type="dxa"/>
            <w:vAlign w:val="bottom"/>
          </w:tcPr>
          <w:p>
            <w:pPr>
              <w:spacing w:after="0"/>
              <w:rPr>
                <w:sz w:val="1"/>
                <w:szCs w:val="1"/>
                <w:color w:val="auto"/>
              </w:rPr>
            </w:pPr>
          </w:p>
        </w:tc>
      </w:tr>
      <w:tr>
        <w:trPr>
          <w:trHeight w:val="170"/>
        </w:trPr>
        <w:tc>
          <w:tcPr>
            <w:tcW w:w="67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Section 3.07    Mutilated, Destroyed, Lost and Stolen Securities</w:t>
            </w:r>
          </w:p>
        </w:tc>
        <w:tc>
          <w:tcPr>
            <w:tcW w:w="1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0" w:type="dxa"/>
            <w:vAlign w:val="bottom"/>
          </w:tcPr>
          <w:p>
            <w:pPr>
              <w:spacing w:after="0"/>
              <w:rPr>
                <w:sz w:val="1"/>
                <w:szCs w:val="1"/>
                <w:color w:val="auto"/>
              </w:rPr>
            </w:pPr>
          </w:p>
        </w:tc>
      </w:tr>
      <w:tr>
        <w:trPr>
          <w:trHeight w:val="170"/>
        </w:trPr>
        <w:tc>
          <w:tcPr>
            <w:tcW w:w="67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Section 3.08    Payment of Interest; Interest Rights Preserved</w:t>
            </w:r>
          </w:p>
        </w:tc>
        <w:tc>
          <w:tcPr>
            <w:tcW w:w="1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0" w:type="dxa"/>
            <w:vAlign w:val="bottom"/>
          </w:tcPr>
          <w:p>
            <w:pPr>
              <w:spacing w:after="0"/>
              <w:rPr>
                <w:sz w:val="1"/>
                <w:szCs w:val="1"/>
                <w:color w:val="auto"/>
              </w:rPr>
            </w:pPr>
          </w:p>
        </w:tc>
      </w:tr>
      <w:tr>
        <w:trPr>
          <w:trHeight w:val="170"/>
        </w:trPr>
        <w:tc>
          <w:tcPr>
            <w:tcW w:w="840" w:type="dxa"/>
            <w:vAlign w:val="bottom"/>
          </w:tcPr>
          <w:p>
            <w:pPr>
              <w:spacing w:after="0"/>
              <w:rPr>
                <w:sz w:val="20"/>
                <w:szCs w:val="20"/>
                <w:color w:val="auto"/>
              </w:rPr>
            </w:pPr>
            <w:r>
              <w:rPr>
                <w:rFonts w:ascii="Times New Roman" w:cs="Times New Roman" w:eastAsia="Times New Roman" w:hAnsi="Times New Roman"/>
                <w:sz w:val="14"/>
                <w:szCs w:val="14"/>
                <w:color w:val="auto"/>
                <w:w w:val="93"/>
              </w:rPr>
              <w:t>Section 3.09  </w:t>
            </w:r>
          </w:p>
        </w:tc>
        <w:tc>
          <w:tcPr>
            <w:tcW w:w="59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Cancellation</w:t>
            </w:r>
          </w:p>
        </w:tc>
        <w:tc>
          <w:tcPr>
            <w:tcW w:w="1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0" w:type="dxa"/>
            <w:vAlign w:val="bottom"/>
          </w:tcPr>
          <w:p>
            <w:pPr>
              <w:spacing w:after="0"/>
              <w:rPr>
                <w:sz w:val="1"/>
                <w:szCs w:val="1"/>
                <w:color w:val="auto"/>
              </w:rPr>
            </w:pPr>
          </w:p>
        </w:tc>
      </w:tr>
      <w:tr>
        <w:trPr>
          <w:trHeight w:val="170"/>
        </w:trPr>
        <w:tc>
          <w:tcPr>
            <w:tcW w:w="67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Section 3.10    Computation of Interest</w:t>
            </w:r>
          </w:p>
        </w:tc>
        <w:tc>
          <w:tcPr>
            <w:tcW w:w="1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0" w:type="dxa"/>
            <w:vAlign w:val="bottom"/>
          </w:tcPr>
          <w:p>
            <w:pPr>
              <w:spacing w:after="0"/>
              <w:rPr>
                <w:sz w:val="1"/>
                <w:szCs w:val="1"/>
                <w:color w:val="auto"/>
              </w:rPr>
            </w:pPr>
          </w:p>
        </w:tc>
      </w:tr>
      <w:tr>
        <w:trPr>
          <w:trHeight w:val="170"/>
        </w:trPr>
        <w:tc>
          <w:tcPr>
            <w:tcW w:w="67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Section 3.11    Currency of Payments in Respect of Securities</w:t>
            </w:r>
          </w:p>
        </w:tc>
        <w:tc>
          <w:tcPr>
            <w:tcW w:w="1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0" w:type="dxa"/>
            <w:vAlign w:val="bottom"/>
          </w:tcPr>
          <w:p>
            <w:pPr>
              <w:spacing w:after="0"/>
              <w:rPr>
                <w:sz w:val="1"/>
                <w:szCs w:val="1"/>
                <w:color w:val="auto"/>
              </w:rPr>
            </w:pPr>
          </w:p>
        </w:tc>
      </w:tr>
      <w:tr>
        <w:trPr>
          <w:trHeight w:val="170"/>
        </w:trPr>
        <w:tc>
          <w:tcPr>
            <w:tcW w:w="840" w:type="dxa"/>
            <w:vAlign w:val="bottom"/>
          </w:tcPr>
          <w:p>
            <w:pPr>
              <w:spacing w:after="0"/>
              <w:rPr>
                <w:sz w:val="20"/>
                <w:szCs w:val="20"/>
                <w:color w:val="auto"/>
              </w:rPr>
            </w:pPr>
            <w:r>
              <w:rPr>
                <w:rFonts w:ascii="Times New Roman" w:cs="Times New Roman" w:eastAsia="Times New Roman" w:hAnsi="Times New Roman"/>
                <w:sz w:val="14"/>
                <w:szCs w:val="14"/>
                <w:color w:val="auto"/>
                <w:w w:val="93"/>
              </w:rPr>
              <w:t>Section 3.12  </w:t>
            </w:r>
          </w:p>
        </w:tc>
        <w:tc>
          <w:tcPr>
            <w:tcW w:w="59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Judgments</w:t>
            </w:r>
          </w:p>
        </w:tc>
        <w:tc>
          <w:tcPr>
            <w:tcW w:w="1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0" w:type="dxa"/>
            <w:vAlign w:val="bottom"/>
          </w:tcPr>
          <w:p>
            <w:pPr>
              <w:spacing w:after="0"/>
              <w:rPr>
                <w:sz w:val="1"/>
                <w:szCs w:val="1"/>
                <w:color w:val="auto"/>
              </w:rPr>
            </w:pPr>
          </w:p>
        </w:tc>
      </w:tr>
      <w:tr>
        <w:trPr>
          <w:trHeight w:val="184"/>
        </w:trPr>
        <w:tc>
          <w:tcPr>
            <w:tcW w:w="840" w:type="dxa"/>
            <w:vAlign w:val="bottom"/>
          </w:tcPr>
          <w:p>
            <w:pPr>
              <w:spacing w:after="0"/>
              <w:rPr>
                <w:sz w:val="20"/>
                <w:szCs w:val="20"/>
                <w:color w:val="auto"/>
              </w:rPr>
            </w:pPr>
            <w:r>
              <w:rPr>
                <w:rFonts w:ascii="Times New Roman" w:cs="Times New Roman" w:eastAsia="Times New Roman" w:hAnsi="Times New Roman"/>
                <w:sz w:val="14"/>
                <w:szCs w:val="14"/>
                <w:color w:val="auto"/>
                <w:w w:val="93"/>
              </w:rPr>
              <w:t>Section 3.13  </w:t>
            </w:r>
          </w:p>
        </w:tc>
        <w:tc>
          <w:tcPr>
            <w:tcW w:w="59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CUSIP Numbers</w:t>
            </w:r>
          </w:p>
        </w:tc>
        <w:tc>
          <w:tcPr>
            <w:tcW w:w="1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9">
                      <a:extLst>
                        <a:ext uri="{28A0092B-C50C-407E-A947-70E740481C1C}"/>
                      </a:extLst>
                    </a:blip>
                    <a:srcRect/>
                    <a:stretch>
                      <a:fillRect/>
                    </a:stretch>
                  </pic:blipFill>
                  <pic:spPr bwMode="auto">
                    <a:xfrm>
                      <a:off x="0" y="0"/>
                      <a:ext cx="7200265" cy="33020"/>
                    </a:xfrm>
                    <a:prstGeom prst="rect">
                      <a:avLst/>
                    </a:prstGeom>
                    <a:noFill/>
                  </pic:spPr>
                </pic:pic>
              </a:graphicData>
            </a:graphic>
          </wp:anchor>
        </w:drawing>
        <w:drawing>
          <wp:anchor simplePos="0" relativeHeight="251657728" behindDoc="1" locked="0" layoutInCell="0" allowOverlap="1">
            <wp:simplePos x="0" y="0"/>
            <wp:positionH relativeFrom="column">
              <wp:posOffset>103505</wp:posOffset>
            </wp:positionH>
            <wp:positionV relativeFrom="paragraph">
              <wp:posOffset>182880</wp:posOffset>
            </wp:positionV>
            <wp:extent cx="608330" cy="698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0">
                      <a:extLst>
                        <a:ext uri="{28A0092B-C50C-407E-A947-70E740481C1C}"/>
                      </a:extLst>
                    </a:blip>
                    <a:srcRect/>
                    <a:stretch>
                      <a:fillRect/>
                    </a:stretch>
                  </pic:blipFill>
                  <pic:spPr bwMode="auto">
                    <a:xfrm>
                      <a:off x="0" y="0"/>
                      <a:ext cx="608330" cy="6985"/>
                    </a:xfrm>
                    <a:prstGeom prst="rect">
                      <a:avLst/>
                    </a:prstGeom>
                    <a:noFill/>
                  </pic:spPr>
                </pic:pic>
              </a:graphicData>
            </a:graphic>
          </wp:anchor>
        </w:drawing>
      </w:r>
    </w:p>
    <w:p>
      <w:pPr>
        <w:spacing w:after="0" w:line="228" w:lineRule="exact"/>
        <w:rPr>
          <w:sz w:val="20"/>
          <w:szCs w:val="20"/>
          <w:color w:val="auto"/>
        </w:rPr>
      </w:pPr>
    </w:p>
    <w:p>
      <w:pPr>
        <w:ind w:left="500" w:hanging="337"/>
        <w:spacing w:after="0"/>
        <w:tabs>
          <w:tab w:leader="none" w:pos="500" w:val="left"/>
        </w:tabs>
        <w:numPr>
          <w:ilvl w:val="0"/>
          <w:numId w:val="16"/>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4"/>
          <w:szCs w:val="14"/>
          <w:color w:val="auto"/>
        </w:rPr>
        <w:t>The Table of Contents is not a part of the Indenture.</w:t>
      </w:r>
    </w:p>
    <w:p>
      <w:pPr>
        <w:spacing w:after="0" w:line="1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i</w:t>
      </w:r>
    </w:p>
    <w:p>
      <w:pPr>
        <w:sectPr>
          <w:pgSz w:w="11900" w:h="16838" w:orient="portrait"/>
          <w:cols w:equalWidth="0" w:num="1">
            <w:col w:w="9019"/>
          </w:cols>
          <w:pgMar w:left="1440" w:top="240" w:right="1440" w:bottom="1440" w:gutter="0" w:footer="0" w:header="0"/>
        </w:sectPr>
      </w:pPr>
    </w:p>
    <w:bookmarkStart w:id="30" w:name="page31"/>
    <w:bookmarkEnd w:id="30"/>
    <w:tbl>
      <w:tblPr>
        <w:tblLayout w:type="fixed"/>
        <w:tblInd w:w="160" w:type="dxa"/>
        <w:tblCellMar>
          <w:top w:w="0" w:type="dxa"/>
          <w:left w:w="0" w:type="dxa"/>
          <w:bottom w:w="0" w:type="dxa"/>
          <w:right w:w="0" w:type="dxa"/>
        </w:tblCellMar>
      </w:tblPr>
      <w:tr>
        <w:trPr>
          <w:trHeight w:val="184"/>
        </w:trPr>
        <w:tc>
          <w:tcPr>
            <w:tcW w:w="840" w:type="dxa"/>
            <w:vAlign w:val="bottom"/>
          </w:tcPr>
          <w:p>
            <w:pPr>
              <w:spacing w:after="0"/>
              <w:rPr>
                <w:sz w:val="16"/>
                <w:szCs w:val="16"/>
                <w:color w:val="auto"/>
              </w:rPr>
            </w:pPr>
          </w:p>
        </w:tc>
        <w:tc>
          <w:tcPr>
            <w:tcW w:w="6400" w:type="dxa"/>
            <w:vAlign w:val="bottom"/>
          </w:tcPr>
          <w:p>
            <w:pPr>
              <w:jc w:val="center"/>
              <w:ind w:left="509"/>
              <w:spacing w:after="0"/>
              <w:rPr>
                <w:sz w:val="20"/>
                <w:szCs w:val="20"/>
                <w:color w:val="auto"/>
              </w:rPr>
            </w:pPr>
            <w:r>
              <w:rPr>
                <w:rFonts w:ascii="Times New Roman" w:cs="Times New Roman" w:eastAsia="Times New Roman" w:hAnsi="Times New Roman"/>
                <w:sz w:val="14"/>
                <w:szCs w:val="14"/>
                <w:color w:val="auto"/>
              </w:rPr>
              <w:t>ARTICLE IV</w:t>
            </w:r>
          </w:p>
        </w:tc>
        <w:tc>
          <w:tcPr>
            <w:tcW w:w="1400" w:type="dxa"/>
            <w:vAlign w:val="bottom"/>
          </w:tcPr>
          <w:p>
            <w:pPr>
              <w:spacing w:after="0"/>
              <w:rPr>
                <w:sz w:val="16"/>
                <w:szCs w:val="16"/>
                <w:color w:val="auto"/>
              </w:rPr>
            </w:pPr>
          </w:p>
        </w:tc>
      </w:tr>
      <w:tr>
        <w:trPr>
          <w:trHeight w:val="241"/>
        </w:trPr>
        <w:tc>
          <w:tcPr>
            <w:tcW w:w="840" w:type="dxa"/>
            <w:vAlign w:val="bottom"/>
          </w:tcPr>
          <w:p>
            <w:pPr>
              <w:spacing w:after="0"/>
              <w:rPr>
                <w:sz w:val="20"/>
                <w:szCs w:val="20"/>
                <w:color w:val="auto"/>
              </w:rPr>
            </w:pPr>
          </w:p>
        </w:tc>
        <w:tc>
          <w:tcPr>
            <w:tcW w:w="6400" w:type="dxa"/>
            <w:vAlign w:val="bottom"/>
          </w:tcPr>
          <w:p>
            <w:pPr>
              <w:jc w:val="center"/>
              <w:ind w:left="489"/>
              <w:spacing w:after="0"/>
              <w:rPr>
                <w:sz w:val="20"/>
                <w:szCs w:val="20"/>
                <w:color w:val="auto"/>
              </w:rPr>
            </w:pPr>
            <w:r>
              <w:rPr>
                <w:rFonts w:ascii="Times New Roman" w:cs="Times New Roman" w:eastAsia="Times New Roman" w:hAnsi="Times New Roman"/>
                <w:sz w:val="14"/>
                <w:szCs w:val="14"/>
                <w:color w:val="auto"/>
              </w:rPr>
              <w:t>REDEMPTION OF SECURITIES</w:t>
            </w:r>
          </w:p>
        </w:tc>
        <w:tc>
          <w:tcPr>
            <w:tcW w:w="1400" w:type="dxa"/>
            <w:vAlign w:val="bottom"/>
          </w:tcPr>
          <w:p>
            <w:pPr>
              <w:spacing w:after="0"/>
              <w:rPr>
                <w:sz w:val="20"/>
                <w:szCs w:val="20"/>
                <w:color w:val="auto"/>
              </w:rPr>
            </w:pPr>
          </w:p>
        </w:tc>
      </w:tr>
      <w:tr>
        <w:trPr>
          <w:trHeight w:val="170"/>
        </w:trPr>
        <w:tc>
          <w:tcPr>
            <w:tcW w:w="72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Section 4.01    Applicability of Right of Redemption</w:t>
            </w: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w:t>
            </w:r>
          </w:p>
        </w:tc>
      </w:tr>
      <w:tr>
        <w:trPr>
          <w:trHeight w:val="170"/>
        </w:trPr>
        <w:tc>
          <w:tcPr>
            <w:tcW w:w="72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Section 4.02    Selection of Securities to be Redeemed</w:t>
            </w: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w:t>
            </w:r>
          </w:p>
        </w:tc>
      </w:tr>
      <w:tr>
        <w:trPr>
          <w:trHeight w:val="170"/>
        </w:trPr>
        <w:tc>
          <w:tcPr>
            <w:tcW w:w="72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Section 4.03    Notice of Redemption</w:t>
            </w: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w:t>
            </w:r>
          </w:p>
        </w:tc>
      </w:tr>
      <w:tr>
        <w:trPr>
          <w:trHeight w:val="170"/>
        </w:trPr>
        <w:tc>
          <w:tcPr>
            <w:tcW w:w="72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Section 4.04    Deposit of Redemption Price</w:t>
            </w: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w:t>
            </w:r>
          </w:p>
        </w:tc>
      </w:tr>
      <w:tr>
        <w:trPr>
          <w:trHeight w:val="170"/>
        </w:trPr>
        <w:tc>
          <w:tcPr>
            <w:tcW w:w="72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Section 4.05    Securities Payable on Redemption Date</w:t>
            </w: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w:t>
            </w:r>
          </w:p>
        </w:tc>
      </w:tr>
      <w:tr>
        <w:trPr>
          <w:trHeight w:val="170"/>
        </w:trPr>
        <w:tc>
          <w:tcPr>
            <w:tcW w:w="72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Section 4.06    Securities Redeemed in Part</w:t>
            </w: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w:t>
            </w:r>
          </w:p>
        </w:tc>
      </w:tr>
      <w:tr>
        <w:trPr>
          <w:trHeight w:val="184"/>
        </w:trPr>
        <w:tc>
          <w:tcPr>
            <w:tcW w:w="840" w:type="dxa"/>
            <w:vAlign w:val="bottom"/>
          </w:tcPr>
          <w:p>
            <w:pPr>
              <w:spacing w:after="0"/>
              <w:rPr>
                <w:sz w:val="16"/>
                <w:szCs w:val="16"/>
                <w:color w:val="auto"/>
              </w:rPr>
            </w:pPr>
          </w:p>
        </w:tc>
        <w:tc>
          <w:tcPr>
            <w:tcW w:w="6400" w:type="dxa"/>
            <w:vAlign w:val="bottom"/>
          </w:tcPr>
          <w:p>
            <w:pPr>
              <w:jc w:val="center"/>
              <w:ind w:left="489"/>
              <w:spacing w:after="0"/>
              <w:rPr>
                <w:sz w:val="20"/>
                <w:szCs w:val="20"/>
                <w:color w:val="auto"/>
              </w:rPr>
            </w:pPr>
            <w:r>
              <w:rPr>
                <w:rFonts w:ascii="Times New Roman" w:cs="Times New Roman" w:eastAsia="Times New Roman" w:hAnsi="Times New Roman"/>
                <w:sz w:val="14"/>
                <w:szCs w:val="14"/>
                <w:color w:val="auto"/>
                <w:w w:val="98"/>
              </w:rPr>
              <w:t>ARTICLE V</w:t>
            </w:r>
          </w:p>
        </w:tc>
        <w:tc>
          <w:tcPr>
            <w:tcW w:w="1400" w:type="dxa"/>
            <w:vAlign w:val="bottom"/>
          </w:tcPr>
          <w:p>
            <w:pPr>
              <w:spacing w:after="0"/>
              <w:rPr>
                <w:sz w:val="16"/>
                <w:szCs w:val="16"/>
                <w:color w:val="auto"/>
              </w:rPr>
            </w:pPr>
          </w:p>
        </w:tc>
      </w:tr>
      <w:tr>
        <w:trPr>
          <w:trHeight w:val="241"/>
        </w:trPr>
        <w:tc>
          <w:tcPr>
            <w:tcW w:w="840" w:type="dxa"/>
            <w:vAlign w:val="bottom"/>
          </w:tcPr>
          <w:p>
            <w:pPr>
              <w:spacing w:after="0"/>
              <w:rPr>
                <w:sz w:val="20"/>
                <w:szCs w:val="20"/>
                <w:color w:val="auto"/>
              </w:rPr>
            </w:pPr>
          </w:p>
        </w:tc>
        <w:tc>
          <w:tcPr>
            <w:tcW w:w="6400" w:type="dxa"/>
            <w:vAlign w:val="bottom"/>
          </w:tcPr>
          <w:p>
            <w:pPr>
              <w:jc w:val="center"/>
              <w:ind w:left="489"/>
              <w:spacing w:after="0"/>
              <w:rPr>
                <w:sz w:val="20"/>
                <w:szCs w:val="20"/>
                <w:color w:val="auto"/>
              </w:rPr>
            </w:pPr>
            <w:r>
              <w:rPr>
                <w:rFonts w:ascii="Times New Roman" w:cs="Times New Roman" w:eastAsia="Times New Roman" w:hAnsi="Times New Roman"/>
                <w:sz w:val="14"/>
                <w:szCs w:val="14"/>
                <w:color w:val="auto"/>
              </w:rPr>
              <w:t>SINKING FUNDS</w:t>
            </w:r>
          </w:p>
        </w:tc>
        <w:tc>
          <w:tcPr>
            <w:tcW w:w="1400" w:type="dxa"/>
            <w:vAlign w:val="bottom"/>
          </w:tcPr>
          <w:p>
            <w:pPr>
              <w:spacing w:after="0"/>
              <w:rPr>
                <w:sz w:val="20"/>
                <w:szCs w:val="20"/>
                <w:color w:val="auto"/>
              </w:rPr>
            </w:pPr>
          </w:p>
        </w:tc>
      </w:tr>
      <w:tr>
        <w:trPr>
          <w:trHeight w:val="170"/>
        </w:trPr>
        <w:tc>
          <w:tcPr>
            <w:tcW w:w="72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Section 5.01    Applicability of Sinking Fund</w:t>
            </w: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w:t>
            </w:r>
          </w:p>
        </w:tc>
      </w:tr>
      <w:tr>
        <w:trPr>
          <w:trHeight w:val="170"/>
        </w:trPr>
        <w:tc>
          <w:tcPr>
            <w:tcW w:w="72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Section 5.02    Mandatory Sinking Fund Obligation</w:t>
            </w: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w:t>
            </w:r>
          </w:p>
        </w:tc>
      </w:tr>
      <w:tr>
        <w:trPr>
          <w:trHeight w:val="170"/>
        </w:trPr>
        <w:tc>
          <w:tcPr>
            <w:tcW w:w="72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Section 5.03    Optional Redemption at Sinking Fund Redemption Price</w:t>
            </w: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w:t>
            </w:r>
          </w:p>
        </w:tc>
      </w:tr>
      <w:tr>
        <w:trPr>
          <w:trHeight w:val="184"/>
        </w:trPr>
        <w:tc>
          <w:tcPr>
            <w:tcW w:w="72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Section 5.04    Application of Sinking Fund Payment</w:t>
            </w: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w:t>
            </w:r>
          </w:p>
        </w:tc>
      </w:tr>
      <w:tr>
        <w:trPr>
          <w:trHeight w:val="255"/>
        </w:trPr>
        <w:tc>
          <w:tcPr>
            <w:tcW w:w="840" w:type="dxa"/>
            <w:vAlign w:val="bottom"/>
          </w:tcPr>
          <w:p>
            <w:pPr>
              <w:spacing w:after="0"/>
              <w:rPr>
                <w:sz w:val="22"/>
                <w:szCs w:val="22"/>
                <w:color w:val="auto"/>
              </w:rPr>
            </w:pPr>
          </w:p>
        </w:tc>
        <w:tc>
          <w:tcPr>
            <w:tcW w:w="6400" w:type="dxa"/>
            <w:vAlign w:val="bottom"/>
          </w:tcPr>
          <w:p>
            <w:pPr>
              <w:jc w:val="center"/>
              <w:ind w:left="509"/>
              <w:spacing w:after="0"/>
              <w:rPr>
                <w:sz w:val="20"/>
                <w:szCs w:val="20"/>
                <w:color w:val="auto"/>
              </w:rPr>
            </w:pPr>
            <w:r>
              <w:rPr>
                <w:rFonts w:ascii="Times New Roman" w:cs="Times New Roman" w:eastAsia="Times New Roman" w:hAnsi="Times New Roman"/>
                <w:sz w:val="14"/>
                <w:szCs w:val="14"/>
                <w:color w:val="auto"/>
              </w:rPr>
              <w:t>ARTICLE VI</w:t>
            </w:r>
          </w:p>
        </w:tc>
        <w:tc>
          <w:tcPr>
            <w:tcW w:w="1400" w:type="dxa"/>
            <w:vAlign w:val="bottom"/>
          </w:tcPr>
          <w:p>
            <w:pPr>
              <w:spacing w:after="0"/>
              <w:rPr>
                <w:sz w:val="22"/>
                <w:szCs w:val="22"/>
                <w:color w:val="auto"/>
              </w:rPr>
            </w:pPr>
          </w:p>
        </w:tc>
      </w:tr>
      <w:tr>
        <w:trPr>
          <w:trHeight w:val="241"/>
        </w:trPr>
        <w:tc>
          <w:tcPr>
            <w:tcW w:w="840" w:type="dxa"/>
            <w:vAlign w:val="bottom"/>
          </w:tcPr>
          <w:p>
            <w:pPr>
              <w:spacing w:after="0"/>
              <w:rPr>
                <w:sz w:val="20"/>
                <w:szCs w:val="20"/>
                <w:color w:val="auto"/>
              </w:rPr>
            </w:pPr>
          </w:p>
        </w:tc>
        <w:tc>
          <w:tcPr>
            <w:tcW w:w="6400" w:type="dxa"/>
            <w:vAlign w:val="bottom"/>
          </w:tcPr>
          <w:p>
            <w:pPr>
              <w:jc w:val="center"/>
              <w:ind w:left="509"/>
              <w:spacing w:after="0"/>
              <w:rPr>
                <w:sz w:val="20"/>
                <w:szCs w:val="20"/>
                <w:color w:val="auto"/>
              </w:rPr>
            </w:pPr>
            <w:r>
              <w:rPr>
                <w:rFonts w:ascii="Times New Roman" w:cs="Times New Roman" w:eastAsia="Times New Roman" w:hAnsi="Times New Roman"/>
                <w:sz w:val="14"/>
                <w:szCs w:val="14"/>
                <w:color w:val="auto"/>
              </w:rPr>
              <w:t>PARTICULAR COVENANTS OF THE COMPANY</w:t>
            </w:r>
          </w:p>
        </w:tc>
        <w:tc>
          <w:tcPr>
            <w:tcW w:w="1400" w:type="dxa"/>
            <w:vAlign w:val="bottom"/>
          </w:tcPr>
          <w:p>
            <w:pPr>
              <w:spacing w:after="0"/>
              <w:rPr>
                <w:sz w:val="20"/>
                <w:szCs w:val="20"/>
                <w:color w:val="auto"/>
              </w:rPr>
            </w:pPr>
          </w:p>
        </w:tc>
      </w:tr>
      <w:tr>
        <w:trPr>
          <w:trHeight w:val="170"/>
        </w:trPr>
        <w:tc>
          <w:tcPr>
            <w:tcW w:w="72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Section 6.01    Payments of Securities</w:t>
            </w: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w:t>
            </w:r>
          </w:p>
        </w:tc>
      </w:tr>
      <w:tr>
        <w:trPr>
          <w:trHeight w:val="170"/>
        </w:trPr>
        <w:tc>
          <w:tcPr>
            <w:tcW w:w="840" w:type="dxa"/>
            <w:vAlign w:val="bottom"/>
          </w:tcPr>
          <w:p>
            <w:pPr>
              <w:spacing w:after="0"/>
              <w:rPr>
                <w:sz w:val="20"/>
                <w:szCs w:val="20"/>
                <w:color w:val="auto"/>
              </w:rPr>
            </w:pPr>
            <w:r>
              <w:rPr>
                <w:rFonts w:ascii="Times New Roman" w:cs="Times New Roman" w:eastAsia="Times New Roman" w:hAnsi="Times New Roman"/>
                <w:sz w:val="14"/>
                <w:szCs w:val="14"/>
                <w:color w:val="auto"/>
                <w:w w:val="93"/>
              </w:rPr>
              <w:t>Section 6.02  </w:t>
            </w:r>
          </w:p>
        </w:tc>
        <w:tc>
          <w:tcPr>
            <w:tcW w:w="64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Paying Agent</w:t>
            </w: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w:t>
            </w:r>
          </w:p>
        </w:tc>
      </w:tr>
      <w:tr>
        <w:trPr>
          <w:trHeight w:val="170"/>
        </w:trPr>
        <w:tc>
          <w:tcPr>
            <w:tcW w:w="72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Section 6.03    To Hold Payment in Trust</w:t>
            </w: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w:t>
            </w:r>
          </w:p>
        </w:tc>
      </w:tr>
      <w:tr>
        <w:trPr>
          <w:trHeight w:val="170"/>
        </w:trPr>
        <w:tc>
          <w:tcPr>
            <w:tcW w:w="72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Section 6.04    Merger, Consolidation and Sale of Assets</w:t>
            </w: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w:t>
            </w:r>
          </w:p>
        </w:tc>
      </w:tr>
      <w:tr>
        <w:trPr>
          <w:trHeight w:val="170"/>
        </w:trPr>
        <w:tc>
          <w:tcPr>
            <w:tcW w:w="840" w:type="dxa"/>
            <w:vAlign w:val="bottom"/>
          </w:tcPr>
          <w:p>
            <w:pPr>
              <w:spacing w:after="0"/>
              <w:rPr>
                <w:sz w:val="20"/>
                <w:szCs w:val="20"/>
                <w:color w:val="auto"/>
              </w:rPr>
            </w:pPr>
            <w:r>
              <w:rPr>
                <w:rFonts w:ascii="Times New Roman" w:cs="Times New Roman" w:eastAsia="Times New Roman" w:hAnsi="Times New Roman"/>
                <w:sz w:val="14"/>
                <w:szCs w:val="14"/>
                <w:color w:val="auto"/>
                <w:w w:val="93"/>
              </w:rPr>
              <w:t>Section 6.05  </w:t>
            </w:r>
          </w:p>
        </w:tc>
        <w:tc>
          <w:tcPr>
            <w:tcW w:w="64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Compliance Certificate</w:t>
            </w: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w:t>
            </w:r>
          </w:p>
        </w:tc>
      </w:tr>
      <w:tr>
        <w:trPr>
          <w:trHeight w:val="170"/>
        </w:trPr>
        <w:tc>
          <w:tcPr>
            <w:tcW w:w="72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Section 6.06    Conditional Waiver by Holders of Securities</w:t>
            </w: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w:t>
            </w:r>
          </w:p>
        </w:tc>
      </w:tr>
      <w:tr>
        <w:trPr>
          <w:trHeight w:val="184"/>
        </w:trPr>
        <w:tc>
          <w:tcPr>
            <w:tcW w:w="72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Section 6.07    Statement by Officers as to Default</w:t>
            </w: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w:t>
            </w:r>
          </w:p>
        </w:tc>
      </w:tr>
      <w:tr>
        <w:trPr>
          <w:trHeight w:val="255"/>
        </w:trPr>
        <w:tc>
          <w:tcPr>
            <w:tcW w:w="840" w:type="dxa"/>
            <w:vAlign w:val="bottom"/>
          </w:tcPr>
          <w:p>
            <w:pPr>
              <w:spacing w:after="0"/>
              <w:rPr>
                <w:sz w:val="22"/>
                <w:szCs w:val="22"/>
                <w:color w:val="auto"/>
              </w:rPr>
            </w:pPr>
          </w:p>
        </w:tc>
        <w:tc>
          <w:tcPr>
            <w:tcW w:w="6400" w:type="dxa"/>
            <w:vAlign w:val="bottom"/>
          </w:tcPr>
          <w:p>
            <w:pPr>
              <w:jc w:val="center"/>
              <w:ind w:left="509"/>
              <w:spacing w:after="0"/>
              <w:rPr>
                <w:sz w:val="20"/>
                <w:szCs w:val="20"/>
                <w:color w:val="auto"/>
              </w:rPr>
            </w:pPr>
            <w:r>
              <w:rPr>
                <w:rFonts w:ascii="Times New Roman" w:cs="Times New Roman" w:eastAsia="Times New Roman" w:hAnsi="Times New Roman"/>
                <w:sz w:val="14"/>
                <w:szCs w:val="14"/>
                <w:color w:val="auto"/>
                <w:w w:val="99"/>
              </w:rPr>
              <w:t>ARTICLE VII</w:t>
            </w:r>
          </w:p>
        </w:tc>
        <w:tc>
          <w:tcPr>
            <w:tcW w:w="1400" w:type="dxa"/>
            <w:vAlign w:val="bottom"/>
          </w:tcPr>
          <w:p>
            <w:pPr>
              <w:spacing w:after="0"/>
              <w:rPr>
                <w:sz w:val="22"/>
                <w:szCs w:val="22"/>
                <w:color w:val="auto"/>
              </w:rPr>
            </w:pPr>
          </w:p>
        </w:tc>
      </w:tr>
      <w:tr>
        <w:trPr>
          <w:trHeight w:val="241"/>
        </w:trPr>
        <w:tc>
          <w:tcPr>
            <w:tcW w:w="840" w:type="dxa"/>
            <w:vAlign w:val="bottom"/>
          </w:tcPr>
          <w:p>
            <w:pPr>
              <w:spacing w:after="0"/>
              <w:rPr>
                <w:sz w:val="20"/>
                <w:szCs w:val="20"/>
                <w:color w:val="auto"/>
              </w:rPr>
            </w:pPr>
          </w:p>
        </w:tc>
        <w:tc>
          <w:tcPr>
            <w:tcW w:w="6400" w:type="dxa"/>
            <w:vAlign w:val="bottom"/>
          </w:tcPr>
          <w:p>
            <w:pPr>
              <w:jc w:val="center"/>
              <w:ind w:left="489"/>
              <w:spacing w:after="0"/>
              <w:rPr>
                <w:sz w:val="20"/>
                <w:szCs w:val="20"/>
                <w:color w:val="auto"/>
              </w:rPr>
            </w:pPr>
            <w:r>
              <w:rPr>
                <w:rFonts w:ascii="Times New Roman" w:cs="Times New Roman" w:eastAsia="Times New Roman" w:hAnsi="Times New Roman"/>
                <w:sz w:val="14"/>
                <w:szCs w:val="14"/>
                <w:color w:val="auto"/>
              </w:rPr>
              <w:t>REMEDIES OF TRUSTEE AND SECURITYHOLDERS</w:t>
            </w:r>
          </w:p>
        </w:tc>
        <w:tc>
          <w:tcPr>
            <w:tcW w:w="1400" w:type="dxa"/>
            <w:vAlign w:val="bottom"/>
          </w:tcPr>
          <w:p>
            <w:pPr>
              <w:spacing w:after="0"/>
              <w:rPr>
                <w:sz w:val="20"/>
                <w:szCs w:val="20"/>
                <w:color w:val="auto"/>
              </w:rPr>
            </w:pPr>
          </w:p>
        </w:tc>
      </w:tr>
      <w:tr>
        <w:trPr>
          <w:trHeight w:val="170"/>
        </w:trPr>
        <w:tc>
          <w:tcPr>
            <w:tcW w:w="72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Section 7.01    Events of Default</w:t>
            </w: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w:t>
            </w:r>
          </w:p>
        </w:tc>
      </w:tr>
      <w:tr>
        <w:trPr>
          <w:trHeight w:val="170"/>
        </w:trPr>
        <w:tc>
          <w:tcPr>
            <w:tcW w:w="72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Section 7.02    Acceleration; Rescission and Annulment</w:t>
            </w: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w:t>
            </w:r>
          </w:p>
        </w:tc>
      </w:tr>
      <w:tr>
        <w:trPr>
          <w:trHeight w:val="170"/>
        </w:trPr>
        <w:tc>
          <w:tcPr>
            <w:tcW w:w="840" w:type="dxa"/>
            <w:vAlign w:val="bottom"/>
          </w:tcPr>
          <w:p>
            <w:pPr>
              <w:spacing w:after="0"/>
              <w:rPr>
                <w:sz w:val="20"/>
                <w:szCs w:val="20"/>
                <w:color w:val="auto"/>
              </w:rPr>
            </w:pPr>
            <w:r>
              <w:rPr>
                <w:rFonts w:ascii="Times New Roman" w:cs="Times New Roman" w:eastAsia="Times New Roman" w:hAnsi="Times New Roman"/>
                <w:sz w:val="14"/>
                <w:szCs w:val="14"/>
                <w:color w:val="auto"/>
                <w:w w:val="93"/>
              </w:rPr>
              <w:t>Section 7.03  </w:t>
            </w:r>
          </w:p>
        </w:tc>
        <w:tc>
          <w:tcPr>
            <w:tcW w:w="64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Other Remedies</w:t>
            </w: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w:t>
            </w:r>
          </w:p>
        </w:tc>
      </w:tr>
      <w:tr>
        <w:trPr>
          <w:trHeight w:val="170"/>
        </w:trPr>
        <w:tc>
          <w:tcPr>
            <w:tcW w:w="840" w:type="dxa"/>
            <w:vAlign w:val="bottom"/>
          </w:tcPr>
          <w:p>
            <w:pPr>
              <w:spacing w:after="0"/>
              <w:rPr>
                <w:sz w:val="20"/>
                <w:szCs w:val="20"/>
                <w:color w:val="auto"/>
              </w:rPr>
            </w:pPr>
            <w:r>
              <w:rPr>
                <w:rFonts w:ascii="Times New Roman" w:cs="Times New Roman" w:eastAsia="Times New Roman" w:hAnsi="Times New Roman"/>
                <w:sz w:val="14"/>
                <w:szCs w:val="14"/>
                <w:color w:val="auto"/>
                <w:w w:val="93"/>
              </w:rPr>
              <w:t>Section 7.04  </w:t>
            </w:r>
          </w:p>
        </w:tc>
        <w:tc>
          <w:tcPr>
            <w:tcW w:w="64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Trustee as Attorney-in-Fact</w:t>
            </w: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w:t>
            </w:r>
          </w:p>
        </w:tc>
      </w:tr>
      <w:tr>
        <w:trPr>
          <w:trHeight w:val="170"/>
        </w:trPr>
        <w:tc>
          <w:tcPr>
            <w:tcW w:w="840" w:type="dxa"/>
            <w:vAlign w:val="bottom"/>
          </w:tcPr>
          <w:p>
            <w:pPr>
              <w:spacing w:after="0"/>
              <w:rPr>
                <w:sz w:val="20"/>
                <w:szCs w:val="20"/>
                <w:color w:val="auto"/>
              </w:rPr>
            </w:pPr>
            <w:r>
              <w:rPr>
                <w:rFonts w:ascii="Times New Roman" w:cs="Times New Roman" w:eastAsia="Times New Roman" w:hAnsi="Times New Roman"/>
                <w:sz w:val="14"/>
                <w:szCs w:val="14"/>
                <w:color w:val="auto"/>
                <w:w w:val="93"/>
              </w:rPr>
              <w:t>Section 7.05  </w:t>
            </w:r>
          </w:p>
        </w:tc>
        <w:tc>
          <w:tcPr>
            <w:tcW w:w="64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Priorities</w:t>
            </w: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w:t>
            </w:r>
          </w:p>
        </w:tc>
      </w:tr>
      <w:tr>
        <w:trPr>
          <w:trHeight w:val="170"/>
        </w:trPr>
        <w:tc>
          <w:tcPr>
            <w:tcW w:w="72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Section 7.06    Control by Securityholders; Waiver of Past Defaults</w:t>
            </w: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w:t>
            </w:r>
          </w:p>
        </w:tc>
      </w:tr>
      <w:tr>
        <w:trPr>
          <w:trHeight w:val="170"/>
        </w:trPr>
        <w:tc>
          <w:tcPr>
            <w:tcW w:w="72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Section 7.07    Limitation on Suits</w:t>
            </w: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w:t>
            </w:r>
          </w:p>
        </w:tc>
      </w:tr>
      <w:tr>
        <w:trPr>
          <w:trHeight w:val="170"/>
        </w:trPr>
        <w:tc>
          <w:tcPr>
            <w:tcW w:w="72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Section 7.08    Undertaking for Costs</w:t>
            </w: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w:t>
            </w:r>
          </w:p>
        </w:tc>
      </w:tr>
      <w:tr>
        <w:trPr>
          <w:trHeight w:val="184"/>
        </w:trPr>
        <w:tc>
          <w:tcPr>
            <w:tcW w:w="840" w:type="dxa"/>
            <w:vAlign w:val="bottom"/>
          </w:tcPr>
          <w:p>
            <w:pPr>
              <w:spacing w:after="0"/>
              <w:rPr>
                <w:sz w:val="20"/>
                <w:szCs w:val="20"/>
                <w:color w:val="auto"/>
              </w:rPr>
            </w:pPr>
            <w:r>
              <w:rPr>
                <w:rFonts w:ascii="Times New Roman" w:cs="Times New Roman" w:eastAsia="Times New Roman" w:hAnsi="Times New Roman"/>
                <w:sz w:val="14"/>
                <w:szCs w:val="14"/>
                <w:color w:val="auto"/>
                <w:w w:val="93"/>
              </w:rPr>
              <w:t>Section 7.09  </w:t>
            </w:r>
          </w:p>
        </w:tc>
        <w:tc>
          <w:tcPr>
            <w:tcW w:w="64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Remedies Cumulative</w:t>
            </w: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w:t>
            </w:r>
          </w:p>
        </w:tc>
      </w:tr>
      <w:tr>
        <w:trPr>
          <w:trHeight w:val="255"/>
        </w:trPr>
        <w:tc>
          <w:tcPr>
            <w:tcW w:w="840" w:type="dxa"/>
            <w:vAlign w:val="bottom"/>
          </w:tcPr>
          <w:p>
            <w:pPr>
              <w:spacing w:after="0"/>
              <w:rPr>
                <w:sz w:val="22"/>
                <w:szCs w:val="22"/>
                <w:color w:val="auto"/>
              </w:rPr>
            </w:pPr>
          </w:p>
        </w:tc>
        <w:tc>
          <w:tcPr>
            <w:tcW w:w="6400" w:type="dxa"/>
            <w:vAlign w:val="bottom"/>
          </w:tcPr>
          <w:p>
            <w:pPr>
              <w:jc w:val="center"/>
              <w:ind w:left="489"/>
              <w:spacing w:after="0"/>
              <w:rPr>
                <w:sz w:val="20"/>
                <w:szCs w:val="20"/>
                <w:color w:val="auto"/>
              </w:rPr>
            </w:pPr>
            <w:r>
              <w:rPr>
                <w:rFonts w:ascii="Times New Roman" w:cs="Times New Roman" w:eastAsia="Times New Roman" w:hAnsi="Times New Roman"/>
                <w:sz w:val="14"/>
                <w:szCs w:val="14"/>
                <w:color w:val="auto"/>
              </w:rPr>
              <w:t>ARTICLE VIII</w:t>
            </w:r>
          </w:p>
        </w:tc>
        <w:tc>
          <w:tcPr>
            <w:tcW w:w="1400" w:type="dxa"/>
            <w:vAlign w:val="bottom"/>
          </w:tcPr>
          <w:p>
            <w:pPr>
              <w:spacing w:after="0"/>
              <w:rPr>
                <w:sz w:val="22"/>
                <w:szCs w:val="22"/>
                <w:color w:val="auto"/>
              </w:rPr>
            </w:pPr>
          </w:p>
        </w:tc>
      </w:tr>
      <w:tr>
        <w:trPr>
          <w:trHeight w:val="241"/>
        </w:trPr>
        <w:tc>
          <w:tcPr>
            <w:tcW w:w="840" w:type="dxa"/>
            <w:vAlign w:val="bottom"/>
          </w:tcPr>
          <w:p>
            <w:pPr>
              <w:spacing w:after="0"/>
              <w:rPr>
                <w:sz w:val="20"/>
                <w:szCs w:val="20"/>
                <w:color w:val="auto"/>
              </w:rPr>
            </w:pPr>
          </w:p>
        </w:tc>
        <w:tc>
          <w:tcPr>
            <w:tcW w:w="6400" w:type="dxa"/>
            <w:vAlign w:val="bottom"/>
          </w:tcPr>
          <w:p>
            <w:pPr>
              <w:jc w:val="center"/>
              <w:ind w:left="509"/>
              <w:spacing w:after="0"/>
              <w:rPr>
                <w:sz w:val="20"/>
                <w:szCs w:val="20"/>
                <w:color w:val="auto"/>
              </w:rPr>
            </w:pPr>
            <w:r>
              <w:rPr>
                <w:rFonts w:ascii="Times New Roman" w:cs="Times New Roman" w:eastAsia="Times New Roman" w:hAnsi="Times New Roman"/>
                <w:sz w:val="14"/>
                <w:szCs w:val="14"/>
                <w:color w:val="auto"/>
              </w:rPr>
              <w:t>CONCERNING THE SECURITYHOLDERS</w:t>
            </w:r>
          </w:p>
        </w:tc>
        <w:tc>
          <w:tcPr>
            <w:tcW w:w="1400" w:type="dxa"/>
            <w:vAlign w:val="bottom"/>
          </w:tcPr>
          <w:p>
            <w:pPr>
              <w:spacing w:after="0"/>
              <w:rPr>
                <w:sz w:val="20"/>
                <w:szCs w:val="20"/>
                <w:color w:val="auto"/>
              </w:rPr>
            </w:pPr>
          </w:p>
        </w:tc>
      </w:tr>
      <w:tr>
        <w:trPr>
          <w:trHeight w:val="170"/>
        </w:trPr>
        <w:tc>
          <w:tcPr>
            <w:tcW w:w="72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Section 8.01    Evidence of Action of Securityholders</w:t>
            </w: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w:t>
            </w:r>
          </w:p>
        </w:tc>
      </w:tr>
      <w:tr>
        <w:trPr>
          <w:trHeight w:val="170"/>
        </w:trPr>
        <w:tc>
          <w:tcPr>
            <w:tcW w:w="72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Section 8.02    Proof of Execution or Holding of Securities</w:t>
            </w: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w:t>
            </w:r>
          </w:p>
        </w:tc>
      </w:tr>
      <w:tr>
        <w:trPr>
          <w:trHeight w:val="170"/>
        </w:trPr>
        <w:tc>
          <w:tcPr>
            <w:tcW w:w="72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Section 8.03    Persons Deemed Owners</w:t>
            </w: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w:t>
            </w:r>
          </w:p>
        </w:tc>
      </w:tr>
      <w:tr>
        <w:trPr>
          <w:trHeight w:val="184"/>
        </w:trPr>
        <w:tc>
          <w:tcPr>
            <w:tcW w:w="72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Section 8.04    Effect of Consents</w:t>
            </w: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w:t>
            </w:r>
          </w:p>
        </w:tc>
      </w:tr>
    </w:tbl>
    <w:p>
      <w:pPr>
        <w:spacing w:after="0" w:line="10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1">
                      <a:extLst>
                        <a:ext uri="{28A0092B-C50C-407E-A947-70E740481C1C}"/>
                      </a:extLst>
                    </a:blip>
                    <a:srcRect/>
                    <a:stretch>
                      <a:fillRect/>
                    </a:stretch>
                  </pic:blipFill>
                  <pic:spPr bwMode="auto">
                    <a:xfrm>
                      <a:off x="0" y="0"/>
                      <a:ext cx="7200265" cy="33020"/>
                    </a:xfrm>
                    <a:prstGeom prst="rect">
                      <a:avLst/>
                    </a:prstGeom>
                    <a:noFill/>
                  </pic:spPr>
                </pic:pic>
              </a:graphicData>
            </a:graphic>
          </wp:anchor>
        </w:drawing>
      </w:r>
    </w:p>
    <w:p>
      <w:pPr>
        <w:jc w:val="center"/>
        <w:ind w:right="19"/>
        <w:spacing w:after="0"/>
        <w:rPr>
          <w:sz w:val="20"/>
          <w:szCs w:val="20"/>
          <w:color w:val="auto"/>
        </w:rPr>
      </w:pPr>
      <w:r>
        <w:rPr>
          <w:rFonts w:ascii="Times New Roman" w:cs="Times New Roman" w:eastAsia="Times New Roman" w:hAnsi="Times New Roman"/>
          <w:sz w:val="14"/>
          <w:szCs w:val="14"/>
          <w:color w:val="auto"/>
        </w:rPr>
        <w:t>ii</w:t>
      </w:r>
    </w:p>
    <w:p>
      <w:pPr>
        <w:sectPr>
          <w:pgSz w:w="11900" w:h="16838" w:orient="portrait"/>
          <w:cols w:equalWidth="0" w:num="1">
            <w:col w:w="9019"/>
          </w:cols>
          <w:pgMar w:left="1440" w:top="242" w:right="1440" w:bottom="1440" w:gutter="0" w:footer="0" w:header="0"/>
        </w:sectPr>
      </w:pPr>
    </w:p>
    <w:bookmarkStart w:id="31" w:name="page32"/>
    <w:bookmarkEnd w:id="31"/>
    <w:tbl>
      <w:tblPr>
        <w:tblLayout w:type="fixed"/>
        <w:tblInd w:w="160" w:type="dxa"/>
        <w:tblCellMar>
          <w:top w:w="0" w:type="dxa"/>
          <w:left w:w="0" w:type="dxa"/>
          <w:bottom w:w="0" w:type="dxa"/>
          <w:right w:w="0" w:type="dxa"/>
        </w:tblCellMar>
      </w:tblPr>
      <w:tr>
        <w:trPr>
          <w:trHeight w:val="184"/>
        </w:trPr>
        <w:tc>
          <w:tcPr>
            <w:tcW w:w="7480" w:type="dxa"/>
            <w:vAlign w:val="bottom"/>
          </w:tcPr>
          <w:p>
            <w:pPr>
              <w:jc w:val="center"/>
              <w:ind w:left="1109"/>
              <w:spacing w:after="0"/>
              <w:rPr>
                <w:sz w:val="20"/>
                <w:szCs w:val="20"/>
                <w:color w:val="auto"/>
              </w:rPr>
            </w:pPr>
            <w:r>
              <w:rPr>
                <w:rFonts w:ascii="Times New Roman" w:cs="Times New Roman" w:eastAsia="Times New Roman" w:hAnsi="Times New Roman"/>
                <w:sz w:val="14"/>
                <w:szCs w:val="14"/>
                <w:color w:val="auto"/>
              </w:rPr>
              <w:t>ARTICLE IX</w:t>
            </w:r>
          </w:p>
        </w:tc>
        <w:tc>
          <w:tcPr>
            <w:tcW w:w="1160" w:type="dxa"/>
            <w:vAlign w:val="bottom"/>
          </w:tcPr>
          <w:p>
            <w:pPr>
              <w:spacing w:after="0"/>
              <w:rPr>
                <w:sz w:val="16"/>
                <w:szCs w:val="16"/>
                <w:color w:val="auto"/>
              </w:rPr>
            </w:pPr>
          </w:p>
        </w:tc>
      </w:tr>
      <w:tr>
        <w:trPr>
          <w:trHeight w:val="241"/>
        </w:trPr>
        <w:tc>
          <w:tcPr>
            <w:tcW w:w="7480" w:type="dxa"/>
            <w:vAlign w:val="bottom"/>
          </w:tcPr>
          <w:p>
            <w:pPr>
              <w:jc w:val="center"/>
              <w:ind w:left="1089"/>
              <w:spacing w:after="0"/>
              <w:rPr>
                <w:sz w:val="20"/>
                <w:szCs w:val="20"/>
                <w:color w:val="auto"/>
              </w:rPr>
            </w:pPr>
            <w:r>
              <w:rPr>
                <w:rFonts w:ascii="Times New Roman" w:cs="Times New Roman" w:eastAsia="Times New Roman" w:hAnsi="Times New Roman"/>
                <w:sz w:val="14"/>
                <w:szCs w:val="14"/>
                <w:color w:val="auto"/>
              </w:rPr>
              <w:t>SECURITYHOLDERS’ MEETINGS</w:t>
            </w:r>
          </w:p>
        </w:tc>
        <w:tc>
          <w:tcPr>
            <w:tcW w:w="1160" w:type="dxa"/>
            <w:vAlign w:val="bottom"/>
          </w:tcPr>
          <w:p>
            <w:pPr>
              <w:spacing w:after="0"/>
              <w:rPr>
                <w:sz w:val="20"/>
                <w:szCs w:val="20"/>
                <w:color w:val="auto"/>
              </w:rPr>
            </w:pPr>
          </w:p>
        </w:tc>
      </w:tr>
      <w:tr>
        <w:trPr>
          <w:trHeight w:val="170"/>
        </w:trPr>
        <w:tc>
          <w:tcPr>
            <w:tcW w:w="7480" w:type="dxa"/>
            <w:vAlign w:val="bottom"/>
          </w:tcPr>
          <w:p>
            <w:pPr>
              <w:spacing w:after="0"/>
              <w:rPr>
                <w:sz w:val="20"/>
                <w:szCs w:val="20"/>
                <w:color w:val="auto"/>
              </w:rPr>
            </w:pPr>
            <w:r>
              <w:rPr>
                <w:rFonts w:ascii="Times New Roman" w:cs="Times New Roman" w:eastAsia="Times New Roman" w:hAnsi="Times New Roman"/>
                <w:sz w:val="14"/>
                <w:szCs w:val="14"/>
                <w:color w:val="auto"/>
              </w:rPr>
              <w:t>Section 9.01    Purposes of Meetings</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w:t>
            </w:r>
          </w:p>
        </w:tc>
      </w:tr>
      <w:tr>
        <w:trPr>
          <w:trHeight w:val="170"/>
        </w:trPr>
        <w:tc>
          <w:tcPr>
            <w:tcW w:w="7480" w:type="dxa"/>
            <w:vAlign w:val="bottom"/>
          </w:tcPr>
          <w:p>
            <w:pPr>
              <w:spacing w:after="0"/>
              <w:rPr>
                <w:sz w:val="20"/>
                <w:szCs w:val="20"/>
                <w:color w:val="auto"/>
              </w:rPr>
            </w:pPr>
            <w:r>
              <w:rPr>
                <w:rFonts w:ascii="Times New Roman" w:cs="Times New Roman" w:eastAsia="Times New Roman" w:hAnsi="Times New Roman"/>
                <w:sz w:val="14"/>
                <w:szCs w:val="14"/>
                <w:color w:val="auto"/>
              </w:rPr>
              <w:t>Section 9.02    Call of Meetings by Trustee</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w:t>
            </w:r>
          </w:p>
        </w:tc>
      </w:tr>
      <w:tr>
        <w:trPr>
          <w:trHeight w:val="170"/>
        </w:trPr>
        <w:tc>
          <w:tcPr>
            <w:tcW w:w="7480" w:type="dxa"/>
            <w:vAlign w:val="bottom"/>
          </w:tcPr>
          <w:p>
            <w:pPr>
              <w:spacing w:after="0"/>
              <w:rPr>
                <w:sz w:val="20"/>
                <w:szCs w:val="20"/>
                <w:color w:val="auto"/>
              </w:rPr>
            </w:pPr>
            <w:r>
              <w:rPr>
                <w:rFonts w:ascii="Times New Roman" w:cs="Times New Roman" w:eastAsia="Times New Roman" w:hAnsi="Times New Roman"/>
                <w:sz w:val="14"/>
                <w:szCs w:val="14"/>
                <w:color w:val="auto"/>
              </w:rPr>
              <w:t>Section 9.03    Call of Meetings by Company or Securityholders</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w:t>
            </w:r>
          </w:p>
        </w:tc>
      </w:tr>
      <w:tr>
        <w:trPr>
          <w:trHeight w:val="170"/>
        </w:trPr>
        <w:tc>
          <w:tcPr>
            <w:tcW w:w="7480" w:type="dxa"/>
            <w:vAlign w:val="bottom"/>
          </w:tcPr>
          <w:p>
            <w:pPr>
              <w:spacing w:after="0"/>
              <w:rPr>
                <w:sz w:val="20"/>
                <w:szCs w:val="20"/>
                <w:color w:val="auto"/>
              </w:rPr>
            </w:pPr>
            <w:r>
              <w:rPr>
                <w:rFonts w:ascii="Times New Roman" w:cs="Times New Roman" w:eastAsia="Times New Roman" w:hAnsi="Times New Roman"/>
                <w:sz w:val="14"/>
                <w:szCs w:val="14"/>
                <w:color w:val="auto"/>
              </w:rPr>
              <w:t>Section 9.04    Qualifications for Voting</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w:t>
            </w:r>
          </w:p>
        </w:tc>
      </w:tr>
      <w:tr>
        <w:trPr>
          <w:trHeight w:val="170"/>
        </w:trPr>
        <w:tc>
          <w:tcPr>
            <w:tcW w:w="7480" w:type="dxa"/>
            <w:vAlign w:val="bottom"/>
          </w:tcPr>
          <w:p>
            <w:pPr>
              <w:spacing w:after="0"/>
              <w:rPr>
                <w:sz w:val="20"/>
                <w:szCs w:val="20"/>
                <w:color w:val="auto"/>
              </w:rPr>
            </w:pPr>
            <w:r>
              <w:rPr>
                <w:rFonts w:ascii="Times New Roman" w:cs="Times New Roman" w:eastAsia="Times New Roman" w:hAnsi="Times New Roman"/>
                <w:sz w:val="14"/>
                <w:szCs w:val="14"/>
                <w:color w:val="auto"/>
              </w:rPr>
              <w:t>Section 9.05    Regulation of Meetings</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w:t>
            </w:r>
          </w:p>
        </w:tc>
      </w:tr>
      <w:tr>
        <w:trPr>
          <w:trHeight w:val="170"/>
        </w:trPr>
        <w:tc>
          <w:tcPr>
            <w:tcW w:w="7480" w:type="dxa"/>
            <w:vAlign w:val="bottom"/>
          </w:tcPr>
          <w:p>
            <w:pPr>
              <w:spacing w:after="0"/>
              <w:rPr>
                <w:sz w:val="20"/>
                <w:szCs w:val="20"/>
                <w:color w:val="auto"/>
              </w:rPr>
            </w:pPr>
            <w:r>
              <w:rPr>
                <w:rFonts w:ascii="Times New Roman" w:cs="Times New Roman" w:eastAsia="Times New Roman" w:hAnsi="Times New Roman"/>
                <w:sz w:val="14"/>
                <w:szCs w:val="14"/>
                <w:color w:val="auto"/>
              </w:rPr>
              <w:t>Section 9.06    Voting</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w:t>
            </w:r>
          </w:p>
        </w:tc>
      </w:tr>
      <w:tr>
        <w:trPr>
          <w:trHeight w:val="184"/>
        </w:trPr>
        <w:tc>
          <w:tcPr>
            <w:tcW w:w="7480" w:type="dxa"/>
            <w:vAlign w:val="bottom"/>
          </w:tcPr>
          <w:p>
            <w:pPr>
              <w:spacing w:after="0"/>
              <w:rPr>
                <w:sz w:val="20"/>
                <w:szCs w:val="20"/>
                <w:color w:val="auto"/>
              </w:rPr>
            </w:pPr>
            <w:r>
              <w:rPr>
                <w:rFonts w:ascii="Times New Roman" w:cs="Times New Roman" w:eastAsia="Times New Roman" w:hAnsi="Times New Roman"/>
                <w:sz w:val="14"/>
                <w:szCs w:val="14"/>
                <w:color w:val="auto"/>
              </w:rPr>
              <w:t>Section 9.07    No Delay of Rights by Meeting</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w:t>
            </w:r>
          </w:p>
        </w:tc>
      </w:tr>
      <w:tr>
        <w:trPr>
          <w:trHeight w:val="255"/>
        </w:trPr>
        <w:tc>
          <w:tcPr>
            <w:tcW w:w="7480" w:type="dxa"/>
            <w:vAlign w:val="bottom"/>
          </w:tcPr>
          <w:p>
            <w:pPr>
              <w:jc w:val="center"/>
              <w:ind w:left="1089"/>
              <w:spacing w:after="0"/>
              <w:rPr>
                <w:sz w:val="20"/>
                <w:szCs w:val="20"/>
                <w:color w:val="auto"/>
              </w:rPr>
            </w:pPr>
            <w:r>
              <w:rPr>
                <w:rFonts w:ascii="Times New Roman" w:cs="Times New Roman" w:eastAsia="Times New Roman" w:hAnsi="Times New Roman"/>
                <w:sz w:val="14"/>
                <w:szCs w:val="14"/>
                <w:color w:val="auto"/>
                <w:w w:val="98"/>
              </w:rPr>
              <w:t>ARTICLE X</w:t>
            </w:r>
          </w:p>
        </w:tc>
        <w:tc>
          <w:tcPr>
            <w:tcW w:w="1160" w:type="dxa"/>
            <w:vAlign w:val="bottom"/>
          </w:tcPr>
          <w:p>
            <w:pPr>
              <w:spacing w:after="0"/>
              <w:rPr>
                <w:sz w:val="22"/>
                <w:szCs w:val="22"/>
                <w:color w:val="auto"/>
              </w:rPr>
            </w:pPr>
          </w:p>
        </w:tc>
      </w:tr>
      <w:tr>
        <w:trPr>
          <w:trHeight w:val="241"/>
        </w:trPr>
        <w:tc>
          <w:tcPr>
            <w:tcW w:w="7480" w:type="dxa"/>
            <w:vAlign w:val="bottom"/>
          </w:tcPr>
          <w:p>
            <w:pPr>
              <w:jc w:val="center"/>
              <w:ind w:left="1109"/>
              <w:spacing w:after="0"/>
              <w:rPr>
                <w:sz w:val="20"/>
                <w:szCs w:val="20"/>
                <w:color w:val="auto"/>
              </w:rPr>
            </w:pPr>
            <w:r>
              <w:rPr>
                <w:rFonts w:ascii="Times New Roman" w:cs="Times New Roman" w:eastAsia="Times New Roman" w:hAnsi="Times New Roman"/>
                <w:sz w:val="14"/>
                <w:szCs w:val="14"/>
                <w:color w:val="auto"/>
              </w:rPr>
              <w:t>REPORTS BY THE COMPANY AND THE TRUSTEE AND</w:t>
            </w:r>
          </w:p>
        </w:tc>
        <w:tc>
          <w:tcPr>
            <w:tcW w:w="1160" w:type="dxa"/>
            <w:vAlign w:val="bottom"/>
          </w:tcPr>
          <w:p>
            <w:pPr>
              <w:spacing w:after="0"/>
              <w:rPr>
                <w:sz w:val="20"/>
                <w:szCs w:val="20"/>
                <w:color w:val="auto"/>
              </w:rPr>
            </w:pPr>
          </w:p>
        </w:tc>
      </w:tr>
      <w:tr>
        <w:trPr>
          <w:trHeight w:val="170"/>
        </w:trPr>
        <w:tc>
          <w:tcPr>
            <w:tcW w:w="7480" w:type="dxa"/>
            <w:vAlign w:val="bottom"/>
          </w:tcPr>
          <w:p>
            <w:pPr>
              <w:ind w:left="3280"/>
              <w:spacing w:after="0"/>
              <w:rPr>
                <w:sz w:val="20"/>
                <w:szCs w:val="20"/>
                <w:color w:val="auto"/>
              </w:rPr>
            </w:pPr>
            <w:r>
              <w:rPr>
                <w:rFonts w:ascii="Times New Roman" w:cs="Times New Roman" w:eastAsia="Times New Roman" w:hAnsi="Times New Roman"/>
                <w:sz w:val="14"/>
                <w:szCs w:val="14"/>
                <w:color w:val="auto"/>
              </w:rPr>
              <w:t>SECURITYHOLDERS’ LISTS</w:t>
            </w:r>
          </w:p>
        </w:tc>
        <w:tc>
          <w:tcPr>
            <w:tcW w:w="1160" w:type="dxa"/>
            <w:vAlign w:val="bottom"/>
          </w:tcPr>
          <w:p>
            <w:pPr>
              <w:spacing w:after="0"/>
              <w:rPr>
                <w:sz w:val="14"/>
                <w:szCs w:val="14"/>
                <w:color w:val="auto"/>
              </w:rPr>
            </w:pPr>
          </w:p>
        </w:tc>
      </w:tr>
      <w:tr>
        <w:trPr>
          <w:trHeight w:val="170"/>
        </w:trPr>
        <w:tc>
          <w:tcPr>
            <w:tcW w:w="7480" w:type="dxa"/>
            <w:vAlign w:val="bottom"/>
          </w:tcPr>
          <w:p>
            <w:pPr>
              <w:spacing w:after="0"/>
              <w:rPr>
                <w:sz w:val="20"/>
                <w:szCs w:val="20"/>
                <w:color w:val="auto"/>
              </w:rPr>
            </w:pPr>
            <w:r>
              <w:rPr>
                <w:rFonts w:ascii="Times New Roman" w:cs="Times New Roman" w:eastAsia="Times New Roman" w:hAnsi="Times New Roman"/>
                <w:sz w:val="14"/>
                <w:szCs w:val="14"/>
                <w:color w:val="auto"/>
              </w:rPr>
              <w:t>Section 10.01    Reports by Trustee</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w:t>
            </w:r>
          </w:p>
        </w:tc>
      </w:tr>
      <w:tr>
        <w:trPr>
          <w:trHeight w:val="170"/>
        </w:trPr>
        <w:tc>
          <w:tcPr>
            <w:tcW w:w="7480" w:type="dxa"/>
            <w:vAlign w:val="bottom"/>
          </w:tcPr>
          <w:p>
            <w:pPr>
              <w:spacing w:after="0"/>
              <w:rPr>
                <w:sz w:val="20"/>
                <w:szCs w:val="20"/>
                <w:color w:val="auto"/>
              </w:rPr>
            </w:pPr>
            <w:r>
              <w:rPr>
                <w:rFonts w:ascii="Times New Roman" w:cs="Times New Roman" w:eastAsia="Times New Roman" w:hAnsi="Times New Roman"/>
                <w:sz w:val="14"/>
                <w:szCs w:val="14"/>
                <w:color w:val="auto"/>
              </w:rPr>
              <w:t>Section 10.02    Reports by the Company</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w:t>
            </w:r>
          </w:p>
        </w:tc>
      </w:tr>
      <w:tr>
        <w:trPr>
          <w:trHeight w:val="184"/>
        </w:trPr>
        <w:tc>
          <w:tcPr>
            <w:tcW w:w="7480" w:type="dxa"/>
            <w:vAlign w:val="bottom"/>
          </w:tcPr>
          <w:p>
            <w:pPr>
              <w:spacing w:after="0"/>
              <w:rPr>
                <w:sz w:val="20"/>
                <w:szCs w:val="20"/>
                <w:color w:val="auto"/>
              </w:rPr>
            </w:pPr>
            <w:r>
              <w:rPr>
                <w:rFonts w:ascii="Times New Roman" w:cs="Times New Roman" w:eastAsia="Times New Roman" w:hAnsi="Times New Roman"/>
                <w:sz w:val="14"/>
                <w:szCs w:val="14"/>
                <w:color w:val="auto"/>
              </w:rPr>
              <w:t>Section 10.03    Securityholders’ Lists</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w:t>
            </w:r>
          </w:p>
        </w:tc>
      </w:tr>
      <w:tr>
        <w:trPr>
          <w:trHeight w:val="255"/>
        </w:trPr>
        <w:tc>
          <w:tcPr>
            <w:tcW w:w="7480" w:type="dxa"/>
            <w:vAlign w:val="bottom"/>
          </w:tcPr>
          <w:p>
            <w:pPr>
              <w:jc w:val="center"/>
              <w:ind w:left="1109"/>
              <w:spacing w:after="0"/>
              <w:rPr>
                <w:sz w:val="20"/>
                <w:szCs w:val="20"/>
                <w:color w:val="auto"/>
              </w:rPr>
            </w:pPr>
            <w:r>
              <w:rPr>
                <w:rFonts w:ascii="Times New Roman" w:cs="Times New Roman" w:eastAsia="Times New Roman" w:hAnsi="Times New Roman"/>
                <w:sz w:val="14"/>
                <w:szCs w:val="14"/>
                <w:color w:val="auto"/>
              </w:rPr>
              <w:t>ARTICLE XI</w:t>
            </w:r>
          </w:p>
        </w:tc>
        <w:tc>
          <w:tcPr>
            <w:tcW w:w="1160" w:type="dxa"/>
            <w:vAlign w:val="bottom"/>
          </w:tcPr>
          <w:p>
            <w:pPr>
              <w:spacing w:after="0"/>
              <w:rPr>
                <w:sz w:val="22"/>
                <w:szCs w:val="22"/>
                <w:color w:val="auto"/>
              </w:rPr>
            </w:pPr>
          </w:p>
        </w:tc>
      </w:tr>
      <w:tr>
        <w:trPr>
          <w:trHeight w:val="241"/>
        </w:trPr>
        <w:tc>
          <w:tcPr>
            <w:tcW w:w="7480" w:type="dxa"/>
            <w:vAlign w:val="bottom"/>
          </w:tcPr>
          <w:p>
            <w:pPr>
              <w:jc w:val="center"/>
              <w:ind w:left="1109"/>
              <w:spacing w:after="0"/>
              <w:rPr>
                <w:sz w:val="20"/>
                <w:szCs w:val="20"/>
                <w:color w:val="auto"/>
              </w:rPr>
            </w:pPr>
            <w:r>
              <w:rPr>
                <w:rFonts w:ascii="Times New Roman" w:cs="Times New Roman" w:eastAsia="Times New Roman" w:hAnsi="Times New Roman"/>
                <w:sz w:val="14"/>
                <w:szCs w:val="14"/>
                <w:color w:val="auto"/>
              </w:rPr>
              <w:t>CONCERNING THE TRUSTEE</w:t>
            </w:r>
          </w:p>
        </w:tc>
        <w:tc>
          <w:tcPr>
            <w:tcW w:w="1160" w:type="dxa"/>
            <w:vAlign w:val="bottom"/>
          </w:tcPr>
          <w:p>
            <w:pPr>
              <w:spacing w:after="0"/>
              <w:rPr>
                <w:sz w:val="20"/>
                <w:szCs w:val="20"/>
                <w:color w:val="auto"/>
              </w:rPr>
            </w:pPr>
          </w:p>
        </w:tc>
      </w:tr>
      <w:tr>
        <w:trPr>
          <w:trHeight w:val="170"/>
        </w:trPr>
        <w:tc>
          <w:tcPr>
            <w:tcW w:w="7480" w:type="dxa"/>
            <w:vAlign w:val="bottom"/>
          </w:tcPr>
          <w:p>
            <w:pPr>
              <w:spacing w:after="0"/>
              <w:rPr>
                <w:sz w:val="20"/>
                <w:szCs w:val="20"/>
                <w:color w:val="auto"/>
              </w:rPr>
            </w:pPr>
            <w:r>
              <w:rPr>
                <w:rFonts w:ascii="Times New Roman" w:cs="Times New Roman" w:eastAsia="Times New Roman" w:hAnsi="Times New Roman"/>
                <w:sz w:val="14"/>
                <w:szCs w:val="14"/>
                <w:color w:val="auto"/>
              </w:rPr>
              <w:t>Section 11.01    Rights of Trustees; Compensation and Indemnity</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w:t>
            </w:r>
          </w:p>
        </w:tc>
      </w:tr>
      <w:tr>
        <w:trPr>
          <w:trHeight w:val="170"/>
        </w:trPr>
        <w:tc>
          <w:tcPr>
            <w:tcW w:w="7480" w:type="dxa"/>
            <w:vAlign w:val="bottom"/>
          </w:tcPr>
          <w:p>
            <w:pPr>
              <w:spacing w:after="0"/>
              <w:rPr>
                <w:sz w:val="20"/>
                <w:szCs w:val="20"/>
                <w:color w:val="auto"/>
              </w:rPr>
            </w:pPr>
            <w:r>
              <w:rPr>
                <w:rFonts w:ascii="Times New Roman" w:cs="Times New Roman" w:eastAsia="Times New Roman" w:hAnsi="Times New Roman"/>
                <w:sz w:val="14"/>
                <w:szCs w:val="14"/>
                <w:color w:val="auto"/>
              </w:rPr>
              <w:t>Section 11.02    Duties of Trustee</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w:t>
            </w:r>
          </w:p>
        </w:tc>
      </w:tr>
      <w:tr>
        <w:trPr>
          <w:trHeight w:val="170"/>
        </w:trPr>
        <w:tc>
          <w:tcPr>
            <w:tcW w:w="7480" w:type="dxa"/>
            <w:vAlign w:val="bottom"/>
          </w:tcPr>
          <w:p>
            <w:pPr>
              <w:spacing w:after="0"/>
              <w:rPr>
                <w:sz w:val="20"/>
                <w:szCs w:val="20"/>
                <w:color w:val="auto"/>
              </w:rPr>
            </w:pPr>
            <w:r>
              <w:rPr>
                <w:rFonts w:ascii="Times New Roman" w:cs="Times New Roman" w:eastAsia="Times New Roman" w:hAnsi="Times New Roman"/>
                <w:sz w:val="14"/>
                <w:szCs w:val="14"/>
                <w:color w:val="auto"/>
              </w:rPr>
              <w:t>Section 11.03    Notice of Defaults</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w:t>
            </w:r>
          </w:p>
        </w:tc>
      </w:tr>
      <w:tr>
        <w:trPr>
          <w:trHeight w:val="170"/>
        </w:trPr>
        <w:tc>
          <w:tcPr>
            <w:tcW w:w="7480" w:type="dxa"/>
            <w:vAlign w:val="bottom"/>
          </w:tcPr>
          <w:p>
            <w:pPr>
              <w:spacing w:after="0"/>
              <w:rPr>
                <w:sz w:val="20"/>
                <w:szCs w:val="20"/>
                <w:color w:val="auto"/>
              </w:rPr>
            </w:pPr>
            <w:r>
              <w:rPr>
                <w:rFonts w:ascii="Times New Roman" w:cs="Times New Roman" w:eastAsia="Times New Roman" w:hAnsi="Times New Roman"/>
                <w:sz w:val="14"/>
                <w:szCs w:val="14"/>
                <w:color w:val="auto"/>
              </w:rPr>
              <w:t>Section 11.04    Eligibility; Disqualification</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w:t>
            </w:r>
          </w:p>
        </w:tc>
      </w:tr>
      <w:tr>
        <w:trPr>
          <w:trHeight w:val="170"/>
        </w:trPr>
        <w:tc>
          <w:tcPr>
            <w:tcW w:w="7480" w:type="dxa"/>
            <w:vAlign w:val="bottom"/>
          </w:tcPr>
          <w:p>
            <w:pPr>
              <w:spacing w:after="0"/>
              <w:rPr>
                <w:sz w:val="20"/>
                <w:szCs w:val="20"/>
                <w:color w:val="auto"/>
              </w:rPr>
            </w:pPr>
            <w:r>
              <w:rPr>
                <w:rFonts w:ascii="Times New Roman" w:cs="Times New Roman" w:eastAsia="Times New Roman" w:hAnsi="Times New Roman"/>
                <w:sz w:val="14"/>
                <w:szCs w:val="14"/>
                <w:color w:val="auto"/>
              </w:rPr>
              <w:t>Section 11.05    Resignation and Notice; Removal</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w:t>
            </w:r>
          </w:p>
        </w:tc>
      </w:tr>
      <w:tr>
        <w:trPr>
          <w:trHeight w:val="170"/>
        </w:trPr>
        <w:tc>
          <w:tcPr>
            <w:tcW w:w="7480" w:type="dxa"/>
            <w:vAlign w:val="bottom"/>
          </w:tcPr>
          <w:p>
            <w:pPr>
              <w:spacing w:after="0"/>
              <w:rPr>
                <w:sz w:val="20"/>
                <w:szCs w:val="20"/>
                <w:color w:val="auto"/>
              </w:rPr>
            </w:pPr>
            <w:r>
              <w:rPr>
                <w:rFonts w:ascii="Times New Roman" w:cs="Times New Roman" w:eastAsia="Times New Roman" w:hAnsi="Times New Roman"/>
                <w:sz w:val="14"/>
                <w:szCs w:val="14"/>
                <w:color w:val="auto"/>
              </w:rPr>
              <w:t>Section 11.06    Successor Trustee by Appointment</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w:t>
            </w:r>
          </w:p>
        </w:tc>
      </w:tr>
      <w:tr>
        <w:trPr>
          <w:trHeight w:val="170"/>
        </w:trPr>
        <w:tc>
          <w:tcPr>
            <w:tcW w:w="7480" w:type="dxa"/>
            <w:vAlign w:val="bottom"/>
          </w:tcPr>
          <w:p>
            <w:pPr>
              <w:spacing w:after="0"/>
              <w:rPr>
                <w:sz w:val="20"/>
                <w:szCs w:val="20"/>
                <w:color w:val="auto"/>
              </w:rPr>
            </w:pPr>
            <w:r>
              <w:rPr>
                <w:rFonts w:ascii="Times New Roman" w:cs="Times New Roman" w:eastAsia="Times New Roman" w:hAnsi="Times New Roman"/>
                <w:sz w:val="14"/>
                <w:szCs w:val="14"/>
                <w:color w:val="auto"/>
              </w:rPr>
              <w:t>Section 11.07    Successor Trustee by Merger</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w:t>
            </w:r>
          </w:p>
        </w:tc>
      </w:tr>
      <w:tr>
        <w:trPr>
          <w:trHeight w:val="170"/>
        </w:trPr>
        <w:tc>
          <w:tcPr>
            <w:tcW w:w="7480" w:type="dxa"/>
            <w:vAlign w:val="bottom"/>
          </w:tcPr>
          <w:p>
            <w:pPr>
              <w:spacing w:after="0"/>
              <w:rPr>
                <w:sz w:val="20"/>
                <w:szCs w:val="20"/>
                <w:color w:val="auto"/>
              </w:rPr>
            </w:pPr>
            <w:r>
              <w:rPr>
                <w:rFonts w:ascii="Times New Roman" w:cs="Times New Roman" w:eastAsia="Times New Roman" w:hAnsi="Times New Roman"/>
                <w:sz w:val="14"/>
                <w:szCs w:val="14"/>
                <w:color w:val="auto"/>
              </w:rPr>
              <w:t>Section 11.08    Right to Rely on Officer’s Certificate</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w:t>
            </w:r>
          </w:p>
        </w:tc>
      </w:tr>
      <w:tr>
        <w:trPr>
          <w:trHeight w:val="170"/>
        </w:trPr>
        <w:tc>
          <w:tcPr>
            <w:tcW w:w="7480" w:type="dxa"/>
            <w:vAlign w:val="bottom"/>
          </w:tcPr>
          <w:p>
            <w:pPr>
              <w:spacing w:after="0"/>
              <w:rPr>
                <w:sz w:val="20"/>
                <w:szCs w:val="20"/>
                <w:color w:val="auto"/>
              </w:rPr>
            </w:pPr>
            <w:r>
              <w:rPr>
                <w:rFonts w:ascii="Times New Roman" w:cs="Times New Roman" w:eastAsia="Times New Roman" w:hAnsi="Times New Roman"/>
                <w:sz w:val="14"/>
                <w:szCs w:val="14"/>
                <w:color w:val="auto"/>
              </w:rPr>
              <w:t>Section 11.09    Appointment of Authenticating Agent</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w:t>
            </w:r>
          </w:p>
        </w:tc>
      </w:tr>
      <w:tr>
        <w:trPr>
          <w:trHeight w:val="184"/>
        </w:trPr>
        <w:tc>
          <w:tcPr>
            <w:tcW w:w="7480" w:type="dxa"/>
            <w:vAlign w:val="bottom"/>
          </w:tcPr>
          <w:p>
            <w:pPr>
              <w:spacing w:after="0"/>
              <w:rPr>
                <w:sz w:val="20"/>
                <w:szCs w:val="20"/>
                <w:color w:val="auto"/>
              </w:rPr>
            </w:pPr>
            <w:r>
              <w:rPr>
                <w:rFonts w:ascii="Times New Roman" w:cs="Times New Roman" w:eastAsia="Times New Roman" w:hAnsi="Times New Roman"/>
                <w:sz w:val="14"/>
                <w:szCs w:val="14"/>
                <w:color w:val="auto"/>
              </w:rPr>
              <w:t>Section 11.10    Communications by Securityholders with Other Securityholders</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w:t>
            </w:r>
          </w:p>
        </w:tc>
      </w:tr>
      <w:tr>
        <w:trPr>
          <w:trHeight w:val="255"/>
        </w:trPr>
        <w:tc>
          <w:tcPr>
            <w:tcW w:w="7480" w:type="dxa"/>
            <w:vAlign w:val="bottom"/>
          </w:tcPr>
          <w:p>
            <w:pPr>
              <w:jc w:val="center"/>
              <w:ind w:left="1109"/>
              <w:spacing w:after="0"/>
              <w:rPr>
                <w:sz w:val="20"/>
                <w:szCs w:val="20"/>
                <w:color w:val="auto"/>
              </w:rPr>
            </w:pPr>
            <w:r>
              <w:rPr>
                <w:rFonts w:ascii="Times New Roman" w:cs="Times New Roman" w:eastAsia="Times New Roman" w:hAnsi="Times New Roman"/>
                <w:sz w:val="14"/>
                <w:szCs w:val="14"/>
                <w:color w:val="auto"/>
                <w:w w:val="99"/>
              </w:rPr>
              <w:t>ARTICLE XII</w:t>
            </w:r>
          </w:p>
        </w:tc>
        <w:tc>
          <w:tcPr>
            <w:tcW w:w="1160" w:type="dxa"/>
            <w:vAlign w:val="bottom"/>
          </w:tcPr>
          <w:p>
            <w:pPr>
              <w:spacing w:after="0"/>
              <w:rPr>
                <w:sz w:val="22"/>
                <w:szCs w:val="22"/>
                <w:color w:val="auto"/>
              </w:rPr>
            </w:pPr>
          </w:p>
        </w:tc>
      </w:tr>
      <w:tr>
        <w:trPr>
          <w:trHeight w:val="241"/>
        </w:trPr>
        <w:tc>
          <w:tcPr>
            <w:tcW w:w="7480" w:type="dxa"/>
            <w:vAlign w:val="bottom"/>
          </w:tcPr>
          <w:p>
            <w:pPr>
              <w:jc w:val="center"/>
              <w:ind w:left="1089"/>
              <w:spacing w:after="0"/>
              <w:rPr>
                <w:sz w:val="20"/>
                <w:szCs w:val="20"/>
                <w:color w:val="auto"/>
              </w:rPr>
            </w:pPr>
            <w:r>
              <w:rPr>
                <w:rFonts w:ascii="Times New Roman" w:cs="Times New Roman" w:eastAsia="Times New Roman" w:hAnsi="Times New Roman"/>
                <w:sz w:val="14"/>
                <w:szCs w:val="14"/>
                <w:color w:val="auto"/>
              </w:rPr>
              <w:t>SATISFACTION AND DISCHARGE; DEFEASANCE</w:t>
            </w:r>
          </w:p>
        </w:tc>
        <w:tc>
          <w:tcPr>
            <w:tcW w:w="1160" w:type="dxa"/>
            <w:vAlign w:val="bottom"/>
          </w:tcPr>
          <w:p>
            <w:pPr>
              <w:spacing w:after="0"/>
              <w:rPr>
                <w:sz w:val="20"/>
                <w:szCs w:val="20"/>
                <w:color w:val="auto"/>
              </w:rPr>
            </w:pPr>
          </w:p>
        </w:tc>
      </w:tr>
      <w:tr>
        <w:trPr>
          <w:trHeight w:val="170"/>
        </w:trPr>
        <w:tc>
          <w:tcPr>
            <w:tcW w:w="7480" w:type="dxa"/>
            <w:vAlign w:val="bottom"/>
          </w:tcPr>
          <w:p>
            <w:pPr>
              <w:spacing w:after="0"/>
              <w:rPr>
                <w:sz w:val="20"/>
                <w:szCs w:val="20"/>
                <w:color w:val="auto"/>
              </w:rPr>
            </w:pPr>
            <w:r>
              <w:rPr>
                <w:rFonts w:ascii="Times New Roman" w:cs="Times New Roman" w:eastAsia="Times New Roman" w:hAnsi="Times New Roman"/>
                <w:sz w:val="14"/>
                <w:szCs w:val="14"/>
                <w:color w:val="auto"/>
              </w:rPr>
              <w:t>Section 12.01    Applicability of Article</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w:t>
            </w:r>
          </w:p>
        </w:tc>
      </w:tr>
      <w:tr>
        <w:trPr>
          <w:trHeight w:val="170"/>
        </w:trPr>
        <w:tc>
          <w:tcPr>
            <w:tcW w:w="7480" w:type="dxa"/>
            <w:vAlign w:val="bottom"/>
          </w:tcPr>
          <w:p>
            <w:pPr>
              <w:spacing w:after="0"/>
              <w:rPr>
                <w:sz w:val="20"/>
                <w:szCs w:val="20"/>
                <w:color w:val="auto"/>
              </w:rPr>
            </w:pPr>
            <w:r>
              <w:rPr>
                <w:rFonts w:ascii="Times New Roman" w:cs="Times New Roman" w:eastAsia="Times New Roman" w:hAnsi="Times New Roman"/>
                <w:sz w:val="14"/>
                <w:szCs w:val="14"/>
                <w:color w:val="auto"/>
              </w:rPr>
              <w:t>Section 12.02    Satisfaction and Discharge of Indenture</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w:t>
            </w:r>
          </w:p>
        </w:tc>
      </w:tr>
      <w:tr>
        <w:trPr>
          <w:trHeight w:val="170"/>
        </w:trPr>
        <w:tc>
          <w:tcPr>
            <w:tcW w:w="7480" w:type="dxa"/>
            <w:vAlign w:val="bottom"/>
          </w:tcPr>
          <w:p>
            <w:pPr>
              <w:spacing w:after="0"/>
              <w:rPr>
                <w:sz w:val="20"/>
                <w:szCs w:val="20"/>
                <w:color w:val="auto"/>
              </w:rPr>
            </w:pPr>
            <w:r>
              <w:rPr>
                <w:rFonts w:ascii="Times New Roman" w:cs="Times New Roman" w:eastAsia="Times New Roman" w:hAnsi="Times New Roman"/>
                <w:sz w:val="14"/>
                <w:szCs w:val="14"/>
                <w:color w:val="auto"/>
              </w:rPr>
              <w:t>Section 12.03    Defeasance and Covenant Defeasance upon Deposit of Moneys or U.S. Government Obligations</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w:t>
            </w:r>
          </w:p>
        </w:tc>
      </w:tr>
      <w:tr>
        <w:trPr>
          <w:trHeight w:val="170"/>
        </w:trPr>
        <w:tc>
          <w:tcPr>
            <w:tcW w:w="7480" w:type="dxa"/>
            <w:vAlign w:val="bottom"/>
          </w:tcPr>
          <w:p>
            <w:pPr>
              <w:spacing w:after="0"/>
              <w:rPr>
                <w:sz w:val="20"/>
                <w:szCs w:val="20"/>
                <w:color w:val="auto"/>
              </w:rPr>
            </w:pPr>
            <w:r>
              <w:rPr>
                <w:rFonts w:ascii="Times New Roman" w:cs="Times New Roman" w:eastAsia="Times New Roman" w:hAnsi="Times New Roman"/>
                <w:sz w:val="14"/>
                <w:szCs w:val="14"/>
                <w:color w:val="auto"/>
              </w:rPr>
              <w:t>Section 12.04    Repayment to Company</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w:t>
            </w:r>
          </w:p>
        </w:tc>
      </w:tr>
      <w:tr>
        <w:trPr>
          <w:trHeight w:val="184"/>
        </w:trPr>
        <w:tc>
          <w:tcPr>
            <w:tcW w:w="7480" w:type="dxa"/>
            <w:vAlign w:val="bottom"/>
          </w:tcPr>
          <w:p>
            <w:pPr>
              <w:spacing w:after="0"/>
              <w:rPr>
                <w:sz w:val="20"/>
                <w:szCs w:val="20"/>
                <w:color w:val="auto"/>
              </w:rPr>
            </w:pPr>
            <w:r>
              <w:rPr>
                <w:rFonts w:ascii="Times New Roman" w:cs="Times New Roman" w:eastAsia="Times New Roman" w:hAnsi="Times New Roman"/>
                <w:sz w:val="14"/>
                <w:szCs w:val="14"/>
                <w:color w:val="auto"/>
              </w:rPr>
              <w:t>Section 12.05    Indemnity for U.S. Government Obligations</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w:t>
            </w:r>
          </w:p>
        </w:tc>
      </w:tr>
    </w:tbl>
    <w:p>
      <w:pPr>
        <w:spacing w:after="0" w:line="10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2">
                      <a:extLst>
                        <a:ext uri="{28A0092B-C50C-407E-A947-70E740481C1C}"/>
                      </a:extLst>
                    </a:blip>
                    <a:srcRect/>
                    <a:stretch>
                      <a:fillRect/>
                    </a:stretch>
                  </pic:blipFill>
                  <pic:spPr bwMode="auto">
                    <a:xfrm>
                      <a:off x="0" y="0"/>
                      <a:ext cx="7200265" cy="33020"/>
                    </a:xfrm>
                    <a:prstGeom prst="rect">
                      <a:avLst/>
                    </a:prstGeom>
                    <a:noFill/>
                  </pic:spPr>
                </pic:pic>
              </a:graphicData>
            </a:graphic>
          </wp:anchor>
        </w:drawing>
      </w:r>
    </w:p>
    <w:p>
      <w:pPr>
        <w:jc w:val="center"/>
        <w:ind w:right="19"/>
        <w:spacing w:after="0"/>
        <w:rPr>
          <w:sz w:val="20"/>
          <w:szCs w:val="20"/>
          <w:color w:val="auto"/>
        </w:rPr>
      </w:pPr>
      <w:r>
        <w:rPr>
          <w:rFonts w:ascii="Times New Roman" w:cs="Times New Roman" w:eastAsia="Times New Roman" w:hAnsi="Times New Roman"/>
          <w:sz w:val="14"/>
          <w:szCs w:val="14"/>
          <w:color w:val="auto"/>
        </w:rPr>
        <w:t>iii</w:t>
      </w:r>
    </w:p>
    <w:p>
      <w:pPr>
        <w:sectPr>
          <w:pgSz w:w="11900" w:h="16838" w:orient="portrait"/>
          <w:cols w:equalWidth="0" w:num="1">
            <w:col w:w="9019"/>
          </w:cols>
          <w:pgMar w:left="1440" w:top="242" w:right="1440" w:bottom="1440" w:gutter="0" w:footer="0" w:header="0"/>
        </w:sectPr>
      </w:pPr>
    </w:p>
    <w:bookmarkStart w:id="32" w:name="page33"/>
    <w:bookmarkEnd w:id="32"/>
    <w:tbl>
      <w:tblPr>
        <w:tblLayout w:type="fixed"/>
        <w:tblInd w:w="160" w:type="dxa"/>
        <w:tblCellMar>
          <w:top w:w="0" w:type="dxa"/>
          <w:left w:w="0" w:type="dxa"/>
          <w:bottom w:w="0" w:type="dxa"/>
          <w:right w:w="0" w:type="dxa"/>
        </w:tblCellMar>
      </w:tblPr>
      <w:tr>
        <w:trPr>
          <w:trHeight w:val="170"/>
        </w:trPr>
        <w:tc>
          <w:tcPr>
            <w:tcW w:w="7800" w:type="dxa"/>
            <w:vAlign w:val="bottom"/>
          </w:tcPr>
          <w:p>
            <w:pPr>
              <w:spacing w:after="0"/>
              <w:rPr>
                <w:sz w:val="20"/>
                <w:szCs w:val="20"/>
                <w:color w:val="auto"/>
              </w:rPr>
            </w:pPr>
            <w:r>
              <w:rPr>
                <w:rFonts w:ascii="Times New Roman" w:cs="Times New Roman" w:eastAsia="Times New Roman" w:hAnsi="Times New Roman"/>
                <w:sz w:val="14"/>
                <w:szCs w:val="14"/>
                <w:color w:val="auto"/>
              </w:rPr>
              <w:t>Section 12.06    [Reserved]</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w:t>
            </w:r>
          </w:p>
        </w:tc>
      </w:tr>
      <w:tr>
        <w:trPr>
          <w:trHeight w:val="170"/>
        </w:trPr>
        <w:tc>
          <w:tcPr>
            <w:tcW w:w="7800" w:type="dxa"/>
            <w:vAlign w:val="bottom"/>
          </w:tcPr>
          <w:p>
            <w:pPr>
              <w:spacing w:after="0"/>
              <w:rPr>
                <w:sz w:val="20"/>
                <w:szCs w:val="20"/>
                <w:color w:val="auto"/>
              </w:rPr>
            </w:pPr>
            <w:r>
              <w:rPr>
                <w:rFonts w:ascii="Times New Roman" w:cs="Times New Roman" w:eastAsia="Times New Roman" w:hAnsi="Times New Roman"/>
                <w:sz w:val="14"/>
                <w:szCs w:val="14"/>
                <w:color w:val="auto"/>
              </w:rPr>
              <w:t>Section 12.07    Application of Trust Money</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w:t>
            </w:r>
          </w:p>
        </w:tc>
      </w:tr>
      <w:tr>
        <w:trPr>
          <w:trHeight w:val="184"/>
        </w:trPr>
        <w:tc>
          <w:tcPr>
            <w:tcW w:w="7800" w:type="dxa"/>
            <w:vAlign w:val="bottom"/>
          </w:tcPr>
          <w:p>
            <w:pPr>
              <w:spacing w:after="0"/>
              <w:rPr>
                <w:sz w:val="20"/>
                <w:szCs w:val="20"/>
                <w:color w:val="auto"/>
              </w:rPr>
            </w:pPr>
            <w:r>
              <w:rPr>
                <w:rFonts w:ascii="Times New Roman" w:cs="Times New Roman" w:eastAsia="Times New Roman" w:hAnsi="Times New Roman"/>
                <w:sz w:val="14"/>
                <w:szCs w:val="14"/>
                <w:color w:val="auto"/>
              </w:rPr>
              <w:t>Section 12.08    Deposits of Non-U.S. Currencies</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w:t>
            </w:r>
          </w:p>
        </w:tc>
      </w:tr>
      <w:tr>
        <w:trPr>
          <w:trHeight w:val="255"/>
        </w:trPr>
        <w:tc>
          <w:tcPr>
            <w:tcW w:w="7800" w:type="dxa"/>
            <w:vAlign w:val="bottom"/>
          </w:tcPr>
          <w:p>
            <w:pPr>
              <w:jc w:val="center"/>
              <w:ind w:left="769"/>
              <w:spacing w:after="0"/>
              <w:rPr>
                <w:sz w:val="20"/>
                <w:szCs w:val="20"/>
                <w:color w:val="auto"/>
              </w:rPr>
            </w:pPr>
            <w:r>
              <w:rPr>
                <w:rFonts w:ascii="Times New Roman" w:cs="Times New Roman" w:eastAsia="Times New Roman" w:hAnsi="Times New Roman"/>
                <w:sz w:val="14"/>
                <w:szCs w:val="14"/>
                <w:color w:val="auto"/>
              </w:rPr>
              <w:t>ARTICLE XIII</w:t>
            </w:r>
          </w:p>
        </w:tc>
        <w:tc>
          <w:tcPr>
            <w:tcW w:w="840" w:type="dxa"/>
            <w:vAlign w:val="bottom"/>
          </w:tcPr>
          <w:p>
            <w:pPr>
              <w:spacing w:after="0"/>
              <w:rPr>
                <w:sz w:val="22"/>
                <w:szCs w:val="22"/>
                <w:color w:val="auto"/>
              </w:rPr>
            </w:pPr>
          </w:p>
        </w:tc>
      </w:tr>
      <w:tr>
        <w:trPr>
          <w:trHeight w:val="241"/>
        </w:trPr>
        <w:tc>
          <w:tcPr>
            <w:tcW w:w="7800" w:type="dxa"/>
            <w:vAlign w:val="bottom"/>
          </w:tcPr>
          <w:p>
            <w:pPr>
              <w:jc w:val="center"/>
              <w:ind w:left="769"/>
              <w:spacing w:after="0"/>
              <w:rPr>
                <w:sz w:val="20"/>
                <w:szCs w:val="20"/>
                <w:color w:val="auto"/>
              </w:rPr>
            </w:pPr>
            <w:r>
              <w:rPr>
                <w:rFonts w:ascii="Times New Roman" w:cs="Times New Roman" w:eastAsia="Times New Roman" w:hAnsi="Times New Roman"/>
                <w:sz w:val="14"/>
                <w:szCs w:val="14"/>
                <w:color w:val="auto"/>
              </w:rPr>
              <w:t>IMMUNITY OF CERTAIN PERSONS</w:t>
            </w:r>
          </w:p>
        </w:tc>
        <w:tc>
          <w:tcPr>
            <w:tcW w:w="840" w:type="dxa"/>
            <w:vAlign w:val="bottom"/>
          </w:tcPr>
          <w:p>
            <w:pPr>
              <w:spacing w:after="0"/>
              <w:rPr>
                <w:sz w:val="20"/>
                <w:szCs w:val="20"/>
                <w:color w:val="auto"/>
              </w:rPr>
            </w:pPr>
          </w:p>
        </w:tc>
      </w:tr>
      <w:tr>
        <w:trPr>
          <w:trHeight w:val="184"/>
        </w:trPr>
        <w:tc>
          <w:tcPr>
            <w:tcW w:w="7800" w:type="dxa"/>
            <w:vAlign w:val="bottom"/>
          </w:tcPr>
          <w:p>
            <w:pPr>
              <w:spacing w:after="0"/>
              <w:rPr>
                <w:sz w:val="20"/>
                <w:szCs w:val="20"/>
                <w:color w:val="auto"/>
              </w:rPr>
            </w:pPr>
            <w:r>
              <w:rPr>
                <w:rFonts w:ascii="Times New Roman" w:cs="Times New Roman" w:eastAsia="Times New Roman" w:hAnsi="Times New Roman"/>
                <w:sz w:val="14"/>
                <w:szCs w:val="14"/>
                <w:color w:val="auto"/>
              </w:rPr>
              <w:t>Section 13.01    No Personal Liability</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w:t>
            </w:r>
          </w:p>
        </w:tc>
      </w:tr>
      <w:tr>
        <w:trPr>
          <w:trHeight w:val="255"/>
        </w:trPr>
        <w:tc>
          <w:tcPr>
            <w:tcW w:w="7800" w:type="dxa"/>
            <w:vAlign w:val="bottom"/>
          </w:tcPr>
          <w:p>
            <w:pPr>
              <w:jc w:val="center"/>
              <w:ind w:left="769"/>
              <w:spacing w:after="0"/>
              <w:rPr>
                <w:sz w:val="20"/>
                <w:szCs w:val="20"/>
                <w:color w:val="auto"/>
              </w:rPr>
            </w:pPr>
            <w:r>
              <w:rPr>
                <w:rFonts w:ascii="Times New Roman" w:cs="Times New Roman" w:eastAsia="Times New Roman" w:hAnsi="Times New Roman"/>
                <w:sz w:val="14"/>
                <w:szCs w:val="14"/>
                <w:color w:val="auto"/>
              </w:rPr>
              <w:t>ARTICLE XIV</w:t>
            </w:r>
          </w:p>
        </w:tc>
        <w:tc>
          <w:tcPr>
            <w:tcW w:w="840" w:type="dxa"/>
            <w:vAlign w:val="bottom"/>
          </w:tcPr>
          <w:p>
            <w:pPr>
              <w:spacing w:after="0"/>
              <w:rPr>
                <w:sz w:val="22"/>
                <w:szCs w:val="22"/>
                <w:color w:val="auto"/>
              </w:rPr>
            </w:pPr>
          </w:p>
        </w:tc>
      </w:tr>
      <w:tr>
        <w:trPr>
          <w:trHeight w:val="241"/>
        </w:trPr>
        <w:tc>
          <w:tcPr>
            <w:tcW w:w="7800" w:type="dxa"/>
            <w:vAlign w:val="bottom"/>
          </w:tcPr>
          <w:p>
            <w:pPr>
              <w:jc w:val="center"/>
              <w:ind w:left="789"/>
              <w:spacing w:after="0"/>
              <w:rPr>
                <w:sz w:val="20"/>
                <w:szCs w:val="20"/>
                <w:color w:val="auto"/>
              </w:rPr>
            </w:pPr>
            <w:r>
              <w:rPr>
                <w:rFonts w:ascii="Times New Roman" w:cs="Times New Roman" w:eastAsia="Times New Roman" w:hAnsi="Times New Roman"/>
                <w:sz w:val="14"/>
                <w:szCs w:val="14"/>
                <w:color w:val="auto"/>
              </w:rPr>
              <w:t>SUPPLEMENTAL INDENTURES</w:t>
            </w:r>
          </w:p>
        </w:tc>
        <w:tc>
          <w:tcPr>
            <w:tcW w:w="840" w:type="dxa"/>
            <w:vAlign w:val="bottom"/>
          </w:tcPr>
          <w:p>
            <w:pPr>
              <w:spacing w:after="0"/>
              <w:rPr>
                <w:sz w:val="20"/>
                <w:szCs w:val="20"/>
                <w:color w:val="auto"/>
              </w:rPr>
            </w:pPr>
          </w:p>
        </w:tc>
      </w:tr>
      <w:tr>
        <w:trPr>
          <w:trHeight w:val="170"/>
        </w:trPr>
        <w:tc>
          <w:tcPr>
            <w:tcW w:w="7800" w:type="dxa"/>
            <w:vAlign w:val="bottom"/>
          </w:tcPr>
          <w:p>
            <w:pPr>
              <w:spacing w:after="0"/>
              <w:rPr>
                <w:sz w:val="20"/>
                <w:szCs w:val="20"/>
                <w:color w:val="auto"/>
              </w:rPr>
            </w:pPr>
            <w:r>
              <w:rPr>
                <w:rFonts w:ascii="Times New Roman" w:cs="Times New Roman" w:eastAsia="Times New Roman" w:hAnsi="Times New Roman"/>
                <w:sz w:val="14"/>
                <w:szCs w:val="14"/>
                <w:color w:val="auto"/>
              </w:rPr>
              <w:t>Section 14.01    Without Consent of Securityholders</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w:t>
            </w:r>
          </w:p>
        </w:tc>
      </w:tr>
      <w:tr>
        <w:trPr>
          <w:trHeight w:val="170"/>
        </w:trPr>
        <w:tc>
          <w:tcPr>
            <w:tcW w:w="7800" w:type="dxa"/>
            <w:vAlign w:val="bottom"/>
          </w:tcPr>
          <w:p>
            <w:pPr>
              <w:spacing w:after="0"/>
              <w:rPr>
                <w:sz w:val="20"/>
                <w:szCs w:val="20"/>
                <w:color w:val="auto"/>
              </w:rPr>
            </w:pPr>
            <w:r>
              <w:rPr>
                <w:rFonts w:ascii="Times New Roman" w:cs="Times New Roman" w:eastAsia="Times New Roman" w:hAnsi="Times New Roman"/>
                <w:sz w:val="14"/>
                <w:szCs w:val="14"/>
                <w:color w:val="auto"/>
              </w:rPr>
              <w:t>Section 14.02    With Consent of Securityholders; Limitations</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w:t>
            </w:r>
          </w:p>
        </w:tc>
      </w:tr>
      <w:tr>
        <w:trPr>
          <w:trHeight w:val="170"/>
        </w:trPr>
        <w:tc>
          <w:tcPr>
            <w:tcW w:w="7800" w:type="dxa"/>
            <w:vAlign w:val="bottom"/>
          </w:tcPr>
          <w:p>
            <w:pPr>
              <w:spacing w:after="0"/>
              <w:rPr>
                <w:sz w:val="20"/>
                <w:szCs w:val="20"/>
                <w:color w:val="auto"/>
              </w:rPr>
            </w:pPr>
            <w:r>
              <w:rPr>
                <w:rFonts w:ascii="Times New Roman" w:cs="Times New Roman" w:eastAsia="Times New Roman" w:hAnsi="Times New Roman"/>
                <w:sz w:val="14"/>
                <w:szCs w:val="14"/>
                <w:color w:val="auto"/>
              </w:rPr>
              <w:t>Section 14.03    Trustee Protected</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w:t>
            </w:r>
          </w:p>
        </w:tc>
      </w:tr>
      <w:tr>
        <w:trPr>
          <w:trHeight w:val="170"/>
        </w:trPr>
        <w:tc>
          <w:tcPr>
            <w:tcW w:w="7800" w:type="dxa"/>
            <w:vAlign w:val="bottom"/>
          </w:tcPr>
          <w:p>
            <w:pPr>
              <w:spacing w:after="0"/>
              <w:rPr>
                <w:sz w:val="20"/>
                <w:szCs w:val="20"/>
                <w:color w:val="auto"/>
              </w:rPr>
            </w:pPr>
            <w:r>
              <w:rPr>
                <w:rFonts w:ascii="Times New Roman" w:cs="Times New Roman" w:eastAsia="Times New Roman" w:hAnsi="Times New Roman"/>
                <w:sz w:val="14"/>
                <w:szCs w:val="14"/>
                <w:color w:val="auto"/>
              </w:rPr>
              <w:t>Section 14.04    Effect of Execution of Supplemental Indenture</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w:t>
            </w:r>
          </w:p>
        </w:tc>
      </w:tr>
      <w:tr>
        <w:trPr>
          <w:trHeight w:val="170"/>
        </w:trPr>
        <w:tc>
          <w:tcPr>
            <w:tcW w:w="7800" w:type="dxa"/>
            <w:vAlign w:val="bottom"/>
          </w:tcPr>
          <w:p>
            <w:pPr>
              <w:spacing w:after="0"/>
              <w:rPr>
                <w:sz w:val="20"/>
                <w:szCs w:val="20"/>
                <w:color w:val="auto"/>
              </w:rPr>
            </w:pPr>
            <w:r>
              <w:rPr>
                <w:rFonts w:ascii="Times New Roman" w:cs="Times New Roman" w:eastAsia="Times New Roman" w:hAnsi="Times New Roman"/>
                <w:sz w:val="14"/>
                <w:szCs w:val="14"/>
                <w:color w:val="auto"/>
              </w:rPr>
              <w:t>Section 14.05    Notation on or Exchange of Securities</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w:t>
            </w:r>
          </w:p>
        </w:tc>
      </w:tr>
      <w:tr>
        <w:trPr>
          <w:trHeight w:val="184"/>
        </w:trPr>
        <w:tc>
          <w:tcPr>
            <w:tcW w:w="7800" w:type="dxa"/>
            <w:vAlign w:val="bottom"/>
          </w:tcPr>
          <w:p>
            <w:pPr>
              <w:spacing w:after="0"/>
              <w:rPr>
                <w:sz w:val="20"/>
                <w:szCs w:val="20"/>
                <w:color w:val="auto"/>
              </w:rPr>
            </w:pPr>
            <w:r>
              <w:rPr>
                <w:rFonts w:ascii="Times New Roman" w:cs="Times New Roman" w:eastAsia="Times New Roman" w:hAnsi="Times New Roman"/>
                <w:sz w:val="14"/>
                <w:szCs w:val="14"/>
                <w:color w:val="auto"/>
              </w:rPr>
              <w:t>Section 14.06    Conformity with TIA</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w:t>
            </w:r>
          </w:p>
        </w:tc>
      </w:tr>
      <w:tr>
        <w:trPr>
          <w:trHeight w:val="255"/>
        </w:trPr>
        <w:tc>
          <w:tcPr>
            <w:tcW w:w="7800" w:type="dxa"/>
            <w:vAlign w:val="bottom"/>
          </w:tcPr>
          <w:p>
            <w:pPr>
              <w:jc w:val="center"/>
              <w:ind w:left="769"/>
              <w:spacing w:after="0"/>
              <w:rPr>
                <w:sz w:val="20"/>
                <w:szCs w:val="20"/>
                <w:color w:val="auto"/>
              </w:rPr>
            </w:pPr>
            <w:r>
              <w:rPr>
                <w:rFonts w:ascii="Times New Roman" w:cs="Times New Roman" w:eastAsia="Times New Roman" w:hAnsi="Times New Roman"/>
                <w:sz w:val="14"/>
                <w:szCs w:val="14"/>
                <w:color w:val="auto"/>
              </w:rPr>
              <w:t>ARTICLE XV</w:t>
            </w:r>
          </w:p>
        </w:tc>
        <w:tc>
          <w:tcPr>
            <w:tcW w:w="840" w:type="dxa"/>
            <w:vAlign w:val="bottom"/>
          </w:tcPr>
          <w:p>
            <w:pPr>
              <w:spacing w:after="0"/>
              <w:rPr>
                <w:sz w:val="22"/>
                <w:szCs w:val="22"/>
                <w:color w:val="auto"/>
              </w:rPr>
            </w:pPr>
          </w:p>
        </w:tc>
      </w:tr>
      <w:tr>
        <w:trPr>
          <w:trHeight w:val="241"/>
        </w:trPr>
        <w:tc>
          <w:tcPr>
            <w:tcW w:w="7800" w:type="dxa"/>
            <w:vAlign w:val="bottom"/>
          </w:tcPr>
          <w:p>
            <w:pPr>
              <w:jc w:val="center"/>
              <w:ind w:left="769"/>
              <w:spacing w:after="0"/>
              <w:rPr>
                <w:sz w:val="20"/>
                <w:szCs w:val="20"/>
                <w:color w:val="auto"/>
              </w:rPr>
            </w:pPr>
            <w:r>
              <w:rPr>
                <w:rFonts w:ascii="Times New Roman" w:cs="Times New Roman" w:eastAsia="Times New Roman" w:hAnsi="Times New Roman"/>
                <w:sz w:val="14"/>
                <w:szCs w:val="14"/>
                <w:color w:val="auto"/>
              </w:rPr>
              <w:t>SUBORDINATION OF SECURITIES</w:t>
            </w:r>
          </w:p>
        </w:tc>
        <w:tc>
          <w:tcPr>
            <w:tcW w:w="840" w:type="dxa"/>
            <w:vAlign w:val="bottom"/>
          </w:tcPr>
          <w:p>
            <w:pPr>
              <w:spacing w:after="0"/>
              <w:rPr>
                <w:sz w:val="20"/>
                <w:szCs w:val="20"/>
                <w:color w:val="auto"/>
              </w:rPr>
            </w:pPr>
          </w:p>
        </w:tc>
      </w:tr>
      <w:tr>
        <w:trPr>
          <w:trHeight w:val="168"/>
        </w:trPr>
        <w:tc>
          <w:tcPr>
            <w:tcW w:w="7800" w:type="dxa"/>
            <w:vAlign w:val="bottom"/>
          </w:tcPr>
          <w:p>
            <w:pPr>
              <w:spacing w:after="0"/>
              <w:rPr>
                <w:sz w:val="20"/>
                <w:szCs w:val="20"/>
                <w:color w:val="auto"/>
              </w:rPr>
            </w:pPr>
            <w:r>
              <w:rPr>
                <w:rFonts w:ascii="Times New Roman" w:cs="Times New Roman" w:eastAsia="Times New Roman" w:hAnsi="Times New Roman"/>
                <w:sz w:val="14"/>
                <w:szCs w:val="14"/>
                <w:color w:val="auto"/>
              </w:rPr>
              <w:t>Section 15.01    Agreement to Subordinate</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w:t>
            </w:r>
          </w:p>
        </w:tc>
      </w:tr>
      <w:tr>
        <w:trPr>
          <w:trHeight w:val="172"/>
        </w:trPr>
        <w:tc>
          <w:tcPr>
            <w:tcW w:w="7800" w:type="dxa"/>
            <w:vAlign w:val="bottom"/>
          </w:tcPr>
          <w:p>
            <w:pPr>
              <w:spacing w:after="0"/>
              <w:rPr>
                <w:sz w:val="20"/>
                <w:szCs w:val="20"/>
                <w:color w:val="auto"/>
              </w:rPr>
            </w:pPr>
            <w:r>
              <w:rPr>
                <w:rFonts w:ascii="Times New Roman" w:cs="Times New Roman" w:eastAsia="Times New Roman" w:hAnsi="Times New Roman"/>
                <w:sz w:val="14"/>
                <w:szCs w:val="14"/>
                <w:color w:val="auto"/>
              </w:rPr>
              <w:t xml:space="preserve">Section 15.02    Distribution on Dissolution, Liquidation, </w:t>
            </w:r>
            <w:r>
              <w:rPr>
                <w:rFonts w:ascii="Times New Roman" w:cs="Times New Roman" w:eastAsia="Times New Roman" w:hAnsi="Times New Roman"/>
                <w:sz w:val="14"/>
                <w:szCs w:val="14"/>
                <w:i w:val="1"/>
                <w:iCs w:val="1"/>
                <w:color w:val="auto"/>
              </w:rPr>
              <w:t>Concurso Mercantil</w:t>
            </w:r>
            <w:r>
              <w:rPr>
                <w:rFonts w:ascii="Times New Roman" w:cs="Times New Roman" w:eastAsia="Times New Roman" w:hAnsi="Times New Roman"/>
                <w:sz w:val="14"/>
                <w:szCs w:val="14"/>
                <w:color w:val="auto"/>
              </w:rPr>
              <w:t xml:space="preserve"> and Reorganization; Subrogation of Securities</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w:t>
            </w:r>
          </w:p>
        </w:tc>
      </w:tr>
      <w:tr>
        <w:trPr>
          <w:trHeight w:val="170"/>
        </w:trPr>
        <w:tc>
          <w:tcPr>
            <w:tcW w:w="7800" w:type="dxa"/>
            <w:vAlign w:val="bottom"/>
          </w:tcPr>
          <w:p>
            <w:pPr>
              <w:spacing w:after="0"/>
              <w:rPr>
                <w:sz w:val="20"/>
                <w:szCs w:val="20"/>
                <w:color w:val="auto"/>
              </w:rPr>
            </w:pPr>
            <w:r>
              <w:rPr>
                <w:rFonts w:ascii="Times New Roman" w:cs="Times New Roman" w:eastAsia="Times New Roman" w:hAnsi="Times New Roman"/>
                <w:sz w:val="14"/>
                <w:szCs w:val="14"/>
                <w:color w:val="auto"/>
              </w:rPr>
              <w:t>Section 15.03    No Payment on Securities in Event of Default on Senior Indebtedness</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w:t>
            </w:r>
          </w:p>
        </w:tc>
      </w:tr>
      <w:tr>
        <w:trPr>
          <w:trHeight w:val="170"/>
        </w:trPr>
        <w:tc>
          <w:tcPr>
            <w:tcW w:w="7800" w:type="dxa"/>
            <w:vAlign w:val="bottom"/>
          </w:tcPr>
          <w:p>
            <w:pPr>
              <w:spacing w:after="0"/>
              <w:rPr>
                <w:sz w:val="20"/>
                <w:szCs w:val="20"/>
                <w:color w:val="auto"/>
              </w:rPr>
            </w:pPr>
            <w:r>
              <w:rPr>
                <w:rFonts w:ascii="Times New Roman" w:cs="Times New Roman" w:eastAsia="Times New Roman" w:hAnsi="Times New Roman"/>
                <w:sz w:val="14"/>
                <w:szCs w:val="14"/>
                <w:color w:val="auto"/>
              </w:rPr>
              <w:t>Section 15.04    Payments on Securities Permitted</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w:t>
            </w:r>
          </w:p>
        </w:tc>
      </w:tr>
      <w:tr>
        <w:trPr>
          <w:trHeight w:val="170"/>
        </w:trPr>
        <w:tc>
          <w:tcPr>
            <w:tcW w:w="7800" w:type="dxa"/>
            <w:vAlign w:val="bottom"/>
          </w:tcPr>
          <w:p>
            <w:pPr>
              <w:spacing w:after="0"/>
              <w:rPr>
                <w:sz w:val="20"/>
                <w:szCs w:val="20"/>
                <w:color w:val="auto"/>
              </w:rPr>
            </w:pPr>
            <w:r>
              <w:rPr>
                <w:rFonts w:ascii="Times New Roman" w:cs="Times New Roman" w:eastAsia="Times New Roman" w:hAnsi="Times New Roman"/>
                <w:sz w:val="14"/>
                <w:szCs w:val="14"/>
                <w:color w:val="auto"/>
              </w:rPr>
              <w:t>Section 15.05    Authorization of Securityholders to Trustee to Effect Subordination</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w:t>
            </w:r>
          </w:p>
        </w:tc>
      </w:tr>
      <w:tr>
        <w:trPr>
          <w:trHeight w:val="170"/>
        </w:trPr>
        <w:tc>
          <w:tcPr>
            <w:tcW w:w="7800" w:type="dxa"/>
            <w:vAlign w:val="bottom"/>
          </w:tcPr>
          <w:p>
            <w:pPr>
              <w:spacing w:after="0"/>
              <w:rPr>
                <w:sz w:val="20"/>
                <w:szCs w:val="20"/>
                <w:color w:val="auto"/>
              </w:rPr>
            </w:pPr>
            <w:r>
              <w:rPr>
                <w:rFonts w:ascii="Times New Roman" w:cs="Times New Roman" w:eastAsia="Times New Roman" w:hAnsi="Times New Roman"/>
                <w:sz w:val="14"/>
                <w:szCs w:val="14"/>
                <w:color w:val="auto"/>
              </w:rPr>
              <w:t>Section 15.06    Notices to Trustee</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w:t>
            </w:r>
          </w:p>
        </w:tc>
      </w:tr>
      <w:tr>
        <w:trPr>
          <w:trHeight w:val="170"/>
        </w:trPr>
        <w:tc>
          <w:tcPr>
            <w:tcW w:w="7800" w:type="dxa"/>
            <w:vAlign w:val="bottom"/>
          </w:tcPr>
          <w:p>
            <w:pPr>
              <w:spacing w:after="0"/>
              <w:rPr>
                <w:sz w:val="20"/>
                <w:szCs w:val="20"/>
                <w:color w:val="auto"/>
              </w:rPr>
            </w:pPr>
            <w:r>
              <w:rPr>
                <w:rFonts w:ascii="Times New Roman" w:cs="Times New Roman" w:eastAsia="Times New Roman" w:hAnsi="Times New Roman"/>
                <w:sz w:val="14"/>
                <w:szCs w:val="14"/>
                <w:color w:val="auto"/>
              </w:rPr>
              <w:t>Section 15.07    Trustee as Holder of Senior Indebtedness</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w:t>
            </w:r>
          </w:p>
        </w:tc>
      </w:tr>
      <w:tr>
        <w:trPr>
          <w:trHeight w:val="170"/>
        </w:trPr>
        <w:tc>
          <w:tcPr>
            <w:tcW w:w="7800" w:type="dxa"/>
            <w:vAlign w:val="bottom"/>
          </w:tcPr>
          <w:p>
            <w:pPr>
              <w:spacing w:after="0"/>
              <w:rPr>
                <w:sz w:val="20"/>
                <w:szCs w:val="20"/>
                <w:color w:val="auto"/>
              </w:rPr>
            </w:pPr>
            <w:r>
              <w:rPr>
                <w:rFonts w:ascii="Times New Roman" w:cs="Times New Roman" w:eastAsia="Times New Roman" w:hAnsi="Times New Roman"/>
                <w:sz w:val="14"/>
                <w:szCs w:val="14"/>
                <w:color w:val="auto"/>
              </w:rPr>
              <w:t>Section 15.08    Modifications of Terms of Senior Indebtedness</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w:t>
            </w:r>
          </w:p>
        </w:tc>
      </w:tr>
      <w:tr>
        <w:trPr>
          <w:trHeight w:val="170"/>
        </w:trPr>
        <w:tc>
          <w:tcPr>
            <w:tcW w:w="7800" w:type="dxa"/>
            <w:vAlign w:val="bottom"/>
          </w:tcPr>
          <w:p>
            <w:pPr>
              <w:spacing w:after="0"/>
              <w:rPr>
                <w:sz w:val="20"/>
                <w:szCs w:val="20"/>
                <w:color w:val="auto"/>
              </w:rPr>
            </w:pPr>
            <w:r>
              <w:rPr>
                <w:rFonts w:ascii="Times New Roman" w:cs="Times New Roman" w:eastAsia="Times New Roman" w:hAnsi="Times New Roman"/>
                <w:sz w:val="14"/>
                <w:szCs w:val="14"/>
                <w:color w:val="auto"/>
              </w:rPr>
              <w:t>Section 15.09    Reliance on Judicial Order or Certificate of Liquidating Agent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w:t>
            </w:r>
          </w:p>
        </w:tc>
      </w:tr>
      <w:tr>
        <w:trPr>
          <w:trHeight w:val="170"/>
        </w:trPr>
        <w:tc>
          <w:tcPr>
            <w:tcW w:w="7800" w:type="dxa"/>
            <w:vAlign w:val="bottom"/>
          </w:tcPr>
          <w:p>
            <w:pPr>
              <w:spacing w:after="0"/>
              <w:rPr>
                <w:sz w:val="20"/>
                <w:szCs w:val="20"/>
                <w:color w:val="auto"/>
              </w:rPr>
            </w:pPr>
            <w:r>
              <w:rPr>
                <w:rFonts w:ascii="Times New Roman" w:cs="Times New Roman" w:eastAsia="Times New Roman" w:hAnsi="Times New Roman"/>
                <w:sz w:val="14"/>
                <w:szCs w:val="14"/>
                <w:color w:val="auto"/>
              </w:rPr>
              <w:t>Section 15.10    Satisfaction and Discharge; Defeasance and Covenant Defeasance</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w:t>
            </w:r>
          </w:p>
        </w:tc>
      </w:tr>
      <w:tr>
        <w:trPr>
          <w:trHeight w:val="184"/>
        </w:trPr>
        <w:tc>
          <w:tcPr>
            <w:tcW w:w="7800" w:type="dxa"/>
            <w:vAlign w:val="bottom"/>
          </w:tcPr>
          <w:p>
            <w:pPr>
              <w:spacing w:after="0"/>
              <w:rPr>
                <w:sz w:val="20"/>
                <w:szCs w:val="20"/>
                <w:color w:val="auto"/>
              </w:rPr>
            </w:pPr>
            <w:r>
              <w:rPr>
                <w:rFonts w:ascii="Times New Roman" w:cs="Times New Roman" w:eastAsia="Times New Roman" w:hAnsi="Times New Roman"/>
                <w:sz w:val="14"/>
                <w:szCs w:val="14"/>
                <w:color w:val="auto"/>
              </w:rPr>
              <w:t>Section 15.11    Trustee Not Fiduciary for Holders of Senior Indebtedness</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w:t>
            </w:r>
          </w:p>
        </w:tc>
      </w:tr>
      <w:tr>
        <w:trPr>
          <w:trHeight w:val="255"/>
        </w:trPr>
        <w:tc>
          <w:tcPr>
            <w:tcW w:w="7800" w:type="dxa"/>
            <w:vAlign w:val="bottom"/>
          </w:tcPr>
          <w:p>
            <w:pPr>
              <w:jc w:val="center"/>
              <w:ind w:left="769"/>
              <w:spacing w:after="0"/>
              <w:rPr>
                <w:sz w:val="20"/>
                <w:szCs w:val="20"/>
                <w:color w:val="auto"/>
              </w:rPr>
            </w:pPr>
            <w:r>
              <w:rPr>
                <w:rFonts w:ascii="Times New Roman" w:cs="Times New Roman" w:eastAsia="Times New Roman" w:hAnsi="Times New Roman"/>
                <w:sz w:val="14"/>
                <w:szCs w:val="14"/>
                <w:color w:val="auto"/>
              </w:rPr>
              <w:t>ARTICLE XVI</w:t>
            </w:r>
          </w:p>
        </w:tc>
        <w:tc>
          <w:tcPr>
            <w:tcW w:w="840" w:type="dxa"/>
            <w:vAlign w:val="bottom"/>
          </w:tcPr>
          <w:p>
            <w:pPr>
              <w:spacing w:after="0"/>
              <w:rPr>
                <w:sz w:val="22"/>
                <w:szCs w:val="22"/>
                <w:color w:val="auto"/>
              </w:rPr>
            </w:pPr>
          </w:p>
        </w:tc>
      </w:tr>
      <w:tr>
        <w:trPr>
          <w:trHeight w:val="241"/>
        </w:trPr>
        <w:tc>
          <w:tcPr>
            <w:tcW w:w="7800" w:type="dxa"/>
            <w:vAlign w:val="bottom"/>
          </w:tcPr>
          <w:p>
            <w:pPr>
              <w:jc w:val="center"/>
              <w:ind w:left="769"/>
              <w:spacing w:after="0"/>
              <w:rPr>
                <w:sz w:val="20"/>
                <w:szCs w:val="20"/>
                <w:color w:val="auto"/>
              </w:rPr>
            </w:pPr>
            <w:r>
              <w:rPr>
                <w:rFonts w:ascii="Times New Roman" w:cs="Times New Roman" w:eastAsia="Times New Roman" w:hAnsi="Times New Roman"/>
                <w:sz w:val="14"/>
                <w:szCs w:val="14"/>
                <w:color w:val="auto"/>
              </w:rPr>
              <w:t>MISCELLANEOUS PROVISIONS</w:t>
            </w:r>
          </w:p>
        </w:tc>
        <w:tc>
          <w:tcPr>
            <w:tcW w:w="840" w:type="dxa"/>
            <w:vAlign w:val="bottom"/>
          </w:tcPr>
          <w:p>
            <w:pPr>
              <w:spacing w:after="0"/>
              <w:rPr>
                <w:sz w:val="20"/>
                <w:szCs w:val="20"/>
                <w:color w:val="auto"/>
              </w:rPr>
            </w:pPr>
          </w:p>
        </w:tc>
      </w:tr>
      <w:tr>
        <w:trPr>
          <w:trHeight w:val="170"/>
        </w:trPr>
        <w:tc>
          <w:tcPr>
            <w:tcW w:w="7800" w:type="dxa"/>
            <w:vAlign w:val="bottom"/>
          </w:tcPr>
          <w:p>
            <w:pPr>
              <w:spacing w:after="0"/>
              <w:rPr>
                <w:sz w:val="20"/>
                <w:szCs w:val="20"/>
                <w:color w:val="auto"/>
              </w:rPr>
            </w:pPr>
            <w:r>
              <w:rPr>
                <w:rFonts w:ascii="Times New Roman" w:cs="Times New Roman" w:eastAsia="Times New Roman" w:hAnsi="Times New Roman"/>
                <w:sz w:val="14"/>
                <w:szCs w:val="14"/>
                <w:color w:val="auto"/>
              </w:rPr>
              <w:t>Section 16.01    Certificates and Opinions as to Conditions Precedent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w:t>
            </w:r>
          </w:p>
        </w:tc>
      </w:tr>
      <w:tr>
        <w:trPr>
          <w:trHeight w:val="170"/>
        </w:trPr>
        <w:tc>
          <w:tcPr>
            <w:tcW w:w="7800" w:type="dxa"/>
            <w:vAlign w:val="bottom"/>
          </w:tcPr>
          <w:p>
            <w:pPr>
              <w:spacing w:after="0"/>
              <w:rPr>
                <w:sz w:val="20"/>
                <w:szCs w:val="20"/>
                <w:color w:val="auto"/>
              </w:rPr>
            </w:pPr>
            <w:r>
              <w:rPr>
                <w:rFonts w:ascii="Times New Roman" w:cs="Times New Roman" w:eastAsia="Times New Roman" w:hAnsi="Times New Roman"/>
                <w:sz w:val="14"/>
                <w:szCs w:val="14"/>
                <w:color w:val="auto"/>
              </w:rPr>
              <w:t>Section 16.02    Trust Indenture Act Controls</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w:t>
            </w:r>
          </w:p>
        </w:tc>
      </w:tr>
      <w:tr>
        <w:trPr>
          <w:trHeight w:val="170"/>
        </w:trPr>
        <w:tc>
          <w:tcPr>
            <w:tcW w:w="7800" w:type="dxa"/>
            <w:vAlign w:val="bottom"/>
          </w:tcPr>
          <w:p>
            <w:pPr>
              <w:spacing w:after="0"/>
              <w:rPr>
                <w:sz w:val="20"/>
                <w:szCs w:val="20"/>
                <w:color w:val="auto"/>
              </w:rPr>
            </w:pPr>
            <w:r>
              <w:rPr>
                <w:rFonts w:ascii="Times New Roman" w:cs="Times New Roman" w:eastAsia="Times New Roman" w:hAnsi="Times New Roman"/>
                <w:sz w:val="14"/>
                <w:szCs w:val="14"/>
                <w:color w:val="auto"/>
              </w:rPr>
              <w:t>Section 16.03    Notices to the Company and Trustee</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w:t>
            </w:r>
          </w:p>
        </w:tc>
      </w:tr>
      <w:tr>
        <w:trPr>
          <w:trHeight w:val="170"/>
        </w:trPr>
        <w:tc>
          <w:tcPr>
            <w:tcW w:w="7800" w:type="dxa"/>
            <w:vAlign w:val="bottom"/>
          </w:tcPr>
          <w:p>
            <w:pPr>
              <w:spacing w:after="0"/>
              <w:rPr>
                <w:sz w:val="20"/>
                <w:szCs w:val="20"/>
                <w:color w:val="auto"/>
              </w:rPr>
            </w:pPr>
            <w:r>
              <w:rPr>
                <w:rFonts w:ascii="Times New Roman" w:cs="Times New Roman" w:eastAsia="Times New Roman" w:hAnsi="Times New Roman"/>
                <w:sz w:val="14"/>
                <w:szCs w:val="14"/>
                <w:color w:val="auto"/>
              </w:rPr>
              <w:t>Section 16.04    Notices to Securityholders; Waiver</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w:t>
            </w:r>
          </w:p>
        </w:tc>
      </w:tr>
      <w:tr>
        <w:trPr>
          <w:trHeight w:val="170"/>
        </w:trPr>
        <w:tc>
          <w:tcPr>
            <w:tcW w:w="7800" w:type="dxa"/>
            <w:vAlign w:val="bottom"/>
          </w:tcPr>
          <w:p>
            <w:pPr>
              <w:spacing w:after="0"/>
              <w:rPr>
                <w:sz w:val="20"/>
                <w:szCs w:val="20"/>
                <w:color w:val="auto"/>
              </w:rPr>
            </w:pPr>
            <w:r>
              <w:rPr>
                <w:rFonts w:ascii="Times New Roman" w:cs="Times New Roman" w:eastAsia="Times New Roman" w:hAnsi="Times New Roman"/>
                <w:sz w:val="14"/>
                <w:szCs w:val="14"/>
                <w:color w:val="auto"/>
              </w:rPr>
              <w:t>Section 16.05    Legal Holiday</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w:t>
            </w:r>
          </w:p>
        </w:tc>
      </w:tr>
      <w:tr>
        <w:trPr>
          <w:trHeight w:val="184"/>
        </w:trPr>
        <w:tc>
          <w:tcPr>
            <w:tcW w:w="7800" w:type="dxa"/>
            <w:vAlign w:val="bottom"/>
          </w:tcPr>
          <w:p>
            <w:pPr>
              <w:spacing w:after="0"/>
              <w:rPr>
                <w:sz w:val="20"/>
                <w:szCs w:val="20"/>
                <w:color w:val="auto"/>
              </w:rPr>
            </w:pPr>
            <w:r>
              <w:rPr>
                <w:rFonts w:ascii="Times New Roman" w:cs="Times New Roman" w:eastAsia="Times New Roman" w:hAnsi="Times New Roman"/>
                <w:sz w:val="14"/>
                <w:szCs w:val="14"/>
                <w:color w:val="auto"/>
              </w:rPr>
              <w:t>Section 16.06    Effects of Headings and Table of Contents</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w:t>
            </w:r>
          </w:p>
        </w:tc>
      </w:tr>
    </w:tbl>
    <w:p>
      <w:pPr>
        <w:spacing w:after="0" w:line="10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3">
                      <a:extLst>
                        <a:ext uri="{28A0092B-C50C-407E-A947-70E740481C1C}"/>
                      </a:extLst>
                    </a:blip>
                    <a:srcRect/>
                    <a:stretch>
                      <a:fillRect/>
                    </a:stretch>
                  </pic:blipFill>
                  <pic:spPr bwMode="auto">
                    <a:xfrm>
                      <a:off x="0" y="0"/>
                      <a:ext cx="7200265" cy="33020"/>
                    </a:xfrm>
                    <a:prstGeom prst="rect">
                      <a:avLst/>
                    </a:prstGeom>
                    <a:noFill/>
                  </pic:spPr>
                </pic:pic>
              </a:graphicData>
            </a:graphic>
          </wp:anchor>
        </w:drawing>
      </w:r>
    </w:p>
    <w:p>
      <w:pPr>
        <w:jc w:val="center"/>
        <w:ind w:right="19"/>
        <w:spacing w:after="0"/>
        <w:rPr>
          <w:sz w:val="20"/>
          <w:szCs w:val="20"/>
          <w:color w:val="auto"/>
        </w:rPr>
      </w:pPr>
      <w:r>
        <w:rPr>
          <w:rFonts w:ascii="Times New Roman" w:cs="Times New Roman" w:eastAsia="Times New Roman" w:hAnsi="Times New Roman"/>
          <w:sz w:val="14"/>
          <w:szCs w:val="14"/>
          <w:color w:val="auto"/>
        </w:rPr>
        <w:t>iv</w:t>
      </w:r>
    </w:p>
    <w:p>
      <w:pPr>
        <w:sectPr>
          <w:pgSz w:w="11900" w:h="16838" w:orient="portrait"/>
          <w:cols w:equalWidth="0" w:num="1">
            <w:col w:w="9019"/>
          </w:cols>
          <w:pgMar w:left="1440" w:top="242" w:right="1440" w:bottom="1440" w:gutter="0" w:footer="0" w:header="0"/>
        </w:sectPr>
      </w:pPr>
    </w:p>
    <w:bookmarkStart w:id="33" w:name="page34"/>
    <w:bookmarkEnd w:id="33"/>
    <w:tbl>
      <w:tblPr>
        <w:tblLayout w:type="fixed"/>
        <w:tblInd w:w="160" w:type="dxa"/>
        <w:tblCellMar>
          <w:top w:w="0" w:type="dxa"/>
          <w:left w:w="0" w:type="dxa"/>
          <w:bottom w:w="0" w:type="dxa"/>
          <w:right w:w="0" w:type="dxa"/>
        </w:tblCellMar>
      </w:tblPr>
      <w:tr>
        <w:trPr>
          <w:trHeight w:val="170"/>
        </w:trPr>
        <w:tc>
          <w:tcPr>
            <w:tcW w:w="72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Section 16.07    Successors and Assigns</w:t>
            </w: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w:t>
            </w:r>
          </w:p>
        </w:tc>
      </w:tr>
      <w:tr>
        <w:trPr>
          <w:trHeight w:val="170"/>
        </w:trPr>
        <w:tc>
          <w:tcPr>
            <w:tcW w:w="900" w:type="dxa"/>
            <w:vAlign w:val="bottom"/>
          </w:tcPr>
          <w:p>
            <w:pPr>
              <w:spacing w:after="0"/>
              <w:rPr>
                <w:sz w:val="20"/>
                <w:szCs w:val="20"/>
                <w:color w:val="auto"/>
              </w:rPr>
            </w:pPr>
            <w:r>
              <w:rPr>
                <w:rFonts w:ascii="Times New Roman" w:cs="Times New Roman" w:eastAsia="Times New Roman" w:hAnsi="Times New Roman"/>
                <w:sz w:val="14"/>
                <w:szCs w:val="14"/>
                <w:color w:val="auto"/>
                <w:w w:val="93"/>
              </w:rPr>
              <w:t>Section 16.08  </w:t>
            </w:r>
          </w:p>
        </w:tc>
        <w:tc>
          <w:tcPr>
            <w:tcW w:w="632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Separability Clause</w:t>
            </w: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w:t>
            </w:r>
          </w:p>
        </w:tc>
      </w:tr>
      <w:tr>
        <w:trPr>
          <w:trHeight w:val="170"/>
        </w:trPr>
        <w:tc>
          <w:tcPr>
            <w:tcW w:w="72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Section 16.09    Benefits of Indenture</w:t>
            </w: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w:t>
            </w:r>
          </w:p>
        </w:tc>
      </w:tr>
      <w:tr>
        <w:trPr>
          <w:trHeight w:val="170"/>
        </w:trPr>
        <w:tc>
          <w:tcPr>
            <w:tcW w:w="900" w:type="dxa"/>
            <w:vAlign w:val="bottom"/>
          </w:tcPr>
          <w:p>
            <w:pPr>
              <w:spacing w:after="0"/>
              <w:rPr>
                <w:sz w:val="20"/>
                <w:szCs w:val="20"/>
                <w:color w:val="auto"/>
              </w:rPr>
            </w:pPr>
            <w:r>
              <w:rPr>
                <w:rFonts w:ascii="Times New Roman" w:cs="Times New Roman" w:eastAsia="Times New Roman" w:hAnsi="Times New Roman"/>
                <w:sz w:val="14"/>
                <w:szCs w:val="14"/>
                <w:color w:val="auto"/>
                <w:w w:val="93"/>
              </w:rPr>
              <w:t>Section 16.10  </w:t>
            </w:r>
          </w:p>
        </w:tc>
        <w:tc>
          <w:tcPr>
            <w:tcW w:w="632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Counterparts Originals</w:t>
            </w: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w:t>
            </w:r>
          </w:p>
        </w:tc>
      </w:tr>
      <w:tr>
        <w:trPr>
          <w:trHeight w:val="170"/>
        </w:trPr>
        <w:tc>
          <w:tcPr>
            <w:tcW w:w="72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Section 16.11    Governing Law; Waiver of Trial by Jury; Submission to Jurisdiction; Service of Process</w:t>
            </w: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w:t>
            </w:r>
          </w:p>
        </w:tc>
      </w:tr>
      <w:tr>
        <w:trPr>
          <w:trHeight w:val="170"/>
        </w:trPr>
        <w:tc>
          <w:tcPr>
            <w:tcW w:w="900" w:type="dxa"/>
            <w:vAlign w:val="bottom"/>
          </w:tcPr>
          <w:p>
            <w:pPr>
              <w:spacing w:after="0"/>
              <w:rPr>
                <w:sz w:val="20"/>
                <w:szCs w:val="20"/>
                <w:color w:val="auto"/>
              </w:rPr>
            </w:pPr>
            <w:r>
              <w:rPr>
                <w:rFonts w:ascii="Times New Roman" w:cs="Times New Roman" w:eastAsia="Times New Roman" w:hAnsi="Times New Roman"/>
                <w:sz w:val="14"/>
                <w:szCs w:val="14"/>
                <w:color w:val="auto"/>
                <w:w w:val="93"/>
              </w:rPr>
              <w:t>Section 16.12  </w:t>
            </w:r>
          </w:p>
        </w:tc>
        <w:tc>
          <w:tcPr>
            <w:tcW w:w="632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Currency Indemnity</w:t>
            </w: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w:t>
            </w:r>
          </w:p>
        </w:tc>
      </w:tr>
      <w:tr>
        <w:trPr>
          <w:trHeight w:val="170"/>
        </w:trPr>
        <w:tc>
          <w:tcPr>
            <w:tcW w:w="900" w:type="dxa"/>
            <w:vAlign w:val="bottom"/>
          </w:tcPr>
          <w:p>
            <w:pPr>
              <w:spacing w:after="0"/>
              <w:rPr>
                <w:sz w:val="20"/>
                <w:szCs w:val="20"/>
                <w:color w:val="auto"/>
              </w:rPr>
            </w:pPr>
            <w:r>
              <w:rPr>
                <w:rFonts w:ascii="Times New Roman" w:cs="Times New Roman" w:eastAsia="Times New Roman" w:hAnsi="Times New Roman"/>
                <w:sz w:val="14"/>
                <w:szCs w:val="14"/>
                <w:color w:val="auto"/>
                <w:w w:val="93"/>
              </w:rPr>
              <w:t>Section 16.13  </w:t>
            </w:r>
          </w:p>
        </w:tc>
        <w:tc>
          <w:tcPr>
            <w:tcW w:w="632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Electronic Signatures</w:t>
            </w: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w:t>
            </w:r>
          </w:p>
        </w:tc>
      </w:tr>
      <w:tr>
        <w:trPr>
          <w:trHeight w:val="170"/>
        </w:trPr>
        <w:tc>
          <w:tcPr>
            <w:tcW w:w="900" w:type="dxa"/>
            <w:vAlign w:val="bottom"/>
          </w:tcPr>
          <w:p>
            <w:pPr>
              <w:spacing w:after="0"/>
              <w:rPr>
                <w:sz w:val="20"/>
                <w:szCs w:val="20"/>
                <w:color w:val="auto"/>
              </w:rPr>
            </w:pPr>
            <w:r>
              <w:rPr>
                <w:rFonts w:ascii="Times New Roman" w:cs="Times New Roman" w:eastAsia="Times New Roman" w:hAnsi="Times New Roman"/>
                <w:sz w:val="14"/>
                <w:szCs w:val="14"/>
                <w:color w:val="auto"/>
                <w:w w:val="93"/>
              </w:rPr>
              <w:t>Section 16.14  </w:t>
            </w:r>
          </w:p>
        </w:tc>
        <w:tc>
          <w:tcPr>
            <w:tcW w:w="632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Electronic Means</w:t>
            </w: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w:t>
            </w:r>
          </w:p>
        </w:tc>
      </w:tr>
      <w:tr>
        <w:trPr>
          <w:trHeight w:val="184"/>
        </w:trPr>
        <w:tc>
          <w:tcPr>
            <w:tcW w:w="72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Section 16.15    Foreign Account Tax Compliance Act</w:t>
            </w: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w:t>
            </w:r>
          </w:p>
        </w:tc>
      </w:tr>
    </w:tbl>
    <w:p>
      <w:pPr>
        <w:spacing w:after="0" w:line="10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4">
                      <a:extLst>
                        <a:ext uri="{28A0092B-C50C-407E-A947-70E740481C1C}"/>
                      </a:extLst>
                    </a:blip>
                    <a:srcRect/>
                    <a:stretch>
                      <a:fillRect/>
                    </a:stretch>
                  </pic:blipFill>
                  <pic:spPr bwMode="auto">
                    <a:xfrm>
                      <a:off x="0" y="0"/>
                      <a:ext cx="7200265" cy="33020"/>
                    </a:xfrm>
                    <a:prstGeom prst="rect">
                      <a:avLst/>
                    </a:prstGeom>
                    <a:noFill/>
                  </pic:spPr>
                </pic:pic>
              </a:graphicData>
            </a:graphic>
          </wp:anchor>
        </w:drawing>
      </w:r>
    </w:p>
    <w:p>
      <w:pPr>
        <w:jc w:val="center"/>
        <w:ind w:right="19"/>
        <w:spacing w:after="0"/>
        <w:rPr>
          <w:sz w:val="20"/>
          <w:szCs w:val="20"/>
          <w:color w:val="auto"/>
        </w:rPr>
      </w:pPr>
      <w:r>
        <w:rPr>
          <w:rFonts w:ascii="Times New Roman" w:cs="Times New Roman" w:eastAsia="Times New Roman" w:hAnsi="Times New Roman"/>
          <w:sz w:val="14"/>
          <w:szCs w:val="14"/>
          <w:color w:val="auto"/>
        </w:rPr>
        <w:t>v</w:t>
      </w:r>
    </w:p>
    <w:p>
      <w:pPr>
        <w:sectPr>
          <w:pgSz w:w="11900" w:h="16838" w:orient="portrait"/>
          <w:cols w:equalWidth="0" w:num="1">
            <w:col w:w="9019"/>
          </w:cols>
          <w:pgMar w:left="1440" w:top="242" w:right="1440" w:bottom="1440" w:gutter="0" w:footer="0" w:header="0"/>
        </w:sectPr>
      </w:pPr>
    </w:p>
    <w:bookmarkStart w:id="34" w:name="page35"/>
    <w:bookmarkEnd w:id="34"/>
    <w:p>
      <w:pPr>
        <w:ind w:left="160" w:right="259" w:firstLine="347"/>
        <w:spacing w:after="0" w:line="272"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5">
                      <a:extLst>
                        <a:ext uri="{28A0092B-C50C-407E-A947-70E740481C1C}"/>
                      </a:extLst>
                    </a:blip>
                    <a:srcRect/>
                    <a:stretch>
                      <a:fillRect/>
                    </a:stretch>
                  </pic:blipFill>
                  <pic:spPr bwMode="auto">
                    <a:xfrm>
                      <a:off x="0" y="0"/>
                      <a:ext cx="7200265" cy="33020"/>
                    </a:xfrm>
                    <a:prstGeom prst="rect">
                      <a:avLst/>
                    </a:prstGeom>
                    <a:noFill/>
                  </pic:spPr>
                </pic:pic>
              </a:graphicData>
            </a:graphic>
          </wp:anchor>
        </w:drawing>
        <w:t>INDENTURE dated as of [•], 20[•], between Cemex, S.A.B. de C.V., a publicly traded stock corporation with variable capital (</w:t>
      </w:r>
      <w:r>
        <w:rPr>
          <w:rFonts w:ascii="Times New Roman" w:cs="Times New Roman" w:eastAsia="Times New Roman" w:hAnsi="Times New Roman"/>
          <w:sz w:val="14"/>
          <w:szCs w:val="14"/>
          <w:i w:val="1"/>
          <w:iCs w:val="1"/>
          <w:color w:val="auto"/>
        </w:rPr>
        <w:t>sociedad anónima</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bursátil de capital variable</w:t>
      </w:r>
      <w:r>
        <w:rPr>
          <w:rFonts w:ascii="Times New Roman" w:cs="Times New Roman" w:eastAsia="Times New Roman" w:hAnsi="Times New Roman"/>
          <w:sz w:val="14"/>
          <w:szCs w:val="14"/>
          <w:color w:val="auto"/>
        </w:rPr>
        <w:t>) organized under the laws of the United Mexican States (the “Company”), and The Bank of New York Mellon, as trustee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(the “Trustee”).</w:t>
      </w:r>
    </w:p>
    <w:p>
      <w:pPr>
        <w:spacing w:after="0" w:line="3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WITNESSETH:</w:t>
      </w:r>
    </w:p>
    <w:p>
      <w:pPr>
        <w:spacing w:after="0" w:line="181" w:lineRule="exact"/>
        <w:rPr>
          <w:sz w:val="20"/>
          <w:szCs w:val="20"/>
          <w:color w:val="auto"/>
        </w:rPr>
      </w:pPr>
    </w:p>
    <w:p>
      <w:pPr>
        <w:jc w:val="both"/>
        <w:ind w:left="160" w:right="359" w:firstLine="347"/>
        <w:spacing w:after="0" w:line="271" w:lineRule="auto"/>
        <w:rPr>
          <w:sz w:val="20"/>
          <w:szCs w:val="20"/>
          <w:color w:val="auto"/>
        </w:rPr>
      </w:pPr>
      <w:r>
        <w:rPr>
          <w:rFonts w:ascii="Times New Roman" w:cs="Times New Roman" w:eastAsia="Times New Roman" w:hAnsi="Times New Roman"/>
          <w:sz w:val="14"/>
          <w:szCs w:val="14"/>
          <w:color w:val="auto"/>
        </w:rPr>
        <w:t>WHEREAS, the Company has duly authorized the execution and delivery of this Indenture to provide for the issuance of unsecured debentures, notes, bonds or other evidences of indebtedness (the “Securities”) in an unlimited aggregate principal amount to be issued from time to time in one or more series as provided in this Indenture; and</w:t>
      </w:r>
    </w:p>
    <w:p>
      <w:pPr>
        <w:spacing w:after="0" w:line="136" w:lineRule="exact"/>
        <w:rPr>
          <w:sz w:val="20"/>
          <w:szCs w:val="20"/>
          <w:color w:val="auto"/>
        </w:rPr>
      </w:pPr>
    </w:p>
    <w:p>
      <w:pPr>
        <w:ind w:left="160" w:right="219" w:firstLine="347"/>
        <w:spacing w:after="0" w:line="288" w:lineRule="auto"/>
        <w:rPr>
          <w:sz w:val="20"/>
          <w:szCs w:val="20"/>
          <w:color w:val="auto"/>
        </w:rPr>
      </w:pPr>
      <w:r>
        <w:rPr>
          <w:rFonts w:ascii="Times New Roman" w:cs="Times New Roman" w:eastAsia="Times New Roman" w:hAnsi="Times New Roman"/>
          <w:sz w:val="14"/>
          <w:szCs w:val="14"/>
          <w:color w:val="auto"/>
        </w:rPr>
        <w:t>WHEREAS, all things necessary to make this Indenture a valid and legally binding agreement of the Company, in accordance with its terms, have been done.</w:t>
      </w:r>
    </w:p>
    <w:p>
      <w:pPr>
        <w:spacing w:after="0" w:line="12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NOW, THEREFORE, THIS INDENTURE WITNESSETH:</w:t>
      </w:r>
    </w:p>
    <w:p>
      <w:pPr>
        <w:spacing w:after="0" w:line="94" w:lineRule="exact"/>
        <w:rPr>
          <w:sz w:val="20"/>
          <w:szCs w:val="20"/>
          <w:color w:val="auto"/>
        </w:rPr>
      </w:pPr>
    </w:p>
    <w:p>
      <w:pPr>
        <w:ind w:left="160" w:right="199" w:firstLine="347"/>
        <w:spacing w:after="0" w:line="288" w:lineRule="auto"/>
        <w:rPr>
          <w:sz w:val="20"/>
          <w:szCs w:val="20"/>
          <w:color w:val="auto"/>
        </w:rPr>
      </w:pPr>
      <w:r>
        <w:rPr>
          <w:rFonts w:ascii="Times New Roman" w:cs="Times New Roman" w:eastAsia="Times New Roman" w:hAnsi="Times New Roman"/>
          <w:sz w:val="14"/>
          <w:szCs w:val="14"/>
          <w:color w:val="auto"/>
        </w:rPr>
        <w:t>That, in consideration of the premises and the purchase of the Securities by the Holders thereof for the equal and proportionate benefit of all of the present and future Holders of the Securities, each party agrees and covenants as follows:</w:t>
      </w:r>
    </w:p>
    <w:p>
      <w:pPr>
        <w:spacing w:after="0" w:line="2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ARTICLE I</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u w:val="single" w:color="auto"/>
          <w:color w:val="auto"/>
        </w:rPr>
        <w:t>DEFINITIONS</w:t>
      </w:r>
    </w:p>
    <w:p>
      <w:pPr>
        <w:spacing w:after="0" w:line="18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For all purposes of this Indenture, except as otherwise expressly provided or unless the context otherwise requires:</w:t>
      </w:r>
    </w:p>
    <w:p>
      <w:pPr>
        <w:spacing w:after="0" w:line="94" w:lineRule="exact"/>
        <w:rPr>
          <w:sz w:val="20"/>
          <w:szCs w:val="20"/>
          <w:color w:val="auto"/>
        </w:rPr>
      </w:pPr>
    </w:p>
    <w:p>
      <w:pPr>
        <w:ind w:left="700" w:hanging="190"/>
        <w:spacing w:after="0"/>
        <w:tabs>
          <w:tab w:leader="none" w:pos="70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terms defined in this Article have the meanings assigned to them in this Article and include the plural as well as the singular;</w:t>
      </w:r>
    </w:p>
    <w:p>
      <w:pPr>
        <w:spacing w:after="0" w:line="179" w:lineRule="exact"/>
        <w:rPr>
          <w:rFonts w:ascii="Times New Roman" w:cs="Times New Roman" w:eastAsia="Times New Roman" w:hAnsi="Times New Roman"/>
          <w:sz w:val="14"/>
          <w:szCs w:val="14"/>
          <w:color w:val="auto"/>
        </w:rPr>
      </w:pPr>
    </w:p>
    <w:p>
      <w:pPr>
        <w:ind w:left="160" w:right="339" w:firstLine="350"/>
        <w:spacing w:after="0" w:line="288" w:lineRule="auto"/>
        <w:tabs>
          <w:tab w:leader="none" w:pos="708"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unless otherwise defined in this Indenture or the context otherwise requires, all terms used herein without definition which are defined in the Trust Indenture Act, either directly or by reference therein, have the meanings assigned to them therein;</w:t>
      </w:r>
    </w:p>
    <w:p>
      <w:pPr>
        <w:spacing w:after="0" w:line="124" w:lineRule="exact"/>
        <w:rPr>
          <w:rFonts w:ascii="Times New Roman" w:cs="Times New Roman" w:eastAsia="Times New Roman" w:hAnsi="Times New Roman"/>
          <w:sz w:val="14"/>
          <w:szCs w:val="14"/>
          <w:color w:val="auto"/>
        </w:rPr>
      </w:pPr>
    </w:p>
    <w:p>
      <w:pPr>
        <w:ind w:left="160" w:right="439" w:firstLine="350"/>
        <w:spacing w:after="0" w:line="288" w:lineRule="auto"/>
        <w:tabs>
          <w:tab w:leader="none" w:pos="70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words “herein”, “hereof” and “hereunder” and other words of similar import refer to this Indenture as a whole and not to any particular Article, Section or other subdivision; and</w:t>
      </w:r>
    </w:p>
    <w:p>
      <w:pPr>
        <w:spacing w:after="0" w:line="124" w:lineRule="exact"/>
        <w:rPr>
          <w:rFonts w:ascii="Times New Roman" w:cs="Times New Roman" w:eastAsia="Times New Roman" w:hAnsi="Times New Roman"/>
          <w:sz w:val="14"/>
          <w:szCs w:val="14"/>
          <w:color w:val="auto"/>
        </w:rPr>
      </w:pPr>
    </w:p>
    <w:p>
      <w:pPr>
        <w:ind w:left="160" w:right="479" w:firstLine="350"/>
        <w:spacing w:after="0" w:line="288" w:lineRule="auto"/>
        <w:tabs>
          <w:tab w:leader="none" w:pos="708"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references to “Article” or “Section” or other subdivision herein are references to an Article, Section or other subdivision of this Indenture, unless the context otherwise requires.</w:t>
      </w:r>
    </w:p>
    <w:p>
      <w:pPr>
        <w:sectPr>
          <w:pgSz w:w="11900" w:h="16838" w:orient="portrait"/>
          <w:cols w:equalWidth="0" w:num="1">
            <w:col w:w="9019"/>
          </w:cols>
          <w:pgMar w:left="1440" w:top="240" w:right="1440" w:bottom="1440" w:gutter="0" w:footer="0" w:header="0"/>
        </w:sectPr>
      </w:pPr>
    </w:p>
    <w:bookmarkStart w:id="35" w:name="page36"/>
    <w:bookmarkEnd w:id="35"/>
    <w:p>
      <w:pPr>
        <w:ind w:left="520"/>
        <w:spacing w:after="0"/>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6">
                      <a:extLst>
                        <a:ext uri="{28A0092B-C50C-407E-A947-70E740481C1C}"/>
                      </a:extLst>
                    </a:blip>
                    <a:srcRect/>
                    <a:stretch>
                      <a:fillRect/>
                    </a:stretch>
                  </pic:blipFill>
                  <pic:spPr bwMode="auto">
                    <a:xfrm>
                      <a:off x="0" y="0"/>
                      <a:ext cx="7200265" cy="33020"/>
                    </a:xfrm>
                    <a:prstGeom prst="rect">
                      <a:avLst/>
                    </a:prstGeom>
                    <a:noFill/>
                  </pic:spPr>
                </pic:pic>
              </a:graphicData>
            </a:graphic>
          </wp:anchor>
        </w:drawing>
        <w:t xml:space="preserve">Section 1.01 </w:t>
      </w:r>
      <w:r>
        <w:rPr>
          <w:rFonts w:ascii="Times New Roman" w:cs="Times New Roman" w:eastAsia="Times New Roman" w:hAnsi="Times New Roman"/>
          <w:sz w:val="14"/>
          <w:szCs w:val="14"/>
          <w:u w:val="single" w:color="auto"/>
          <w:color w:val="auto"/>
        </w:rPr>
        <w:t>Definitions.</w:t>
      </w:r>
    </w:p>
    <w:p>
      <w:pPr>
        <w:spacing w:after="0" w:line="179" w:lineRule="exact"/>
        <w:rPr>
          <w:sz w:val="20"/>
          <w:szCs w:val="20"/>
          <w:color w:val="auto"/>
        </w:rPr>
      </w:pPr>
    </w:p>
    <w:p>
      <w:pPr>
        <w:ind w:left="160" w:right="259" w:firstLine="347"/>
        <w:spacing w:after="0" w:line="288" w:lineRule="auto"/>
        <w:rPr>
          <w:sz w:val="20"/>
          <w:szCs w:val="20"/>
          <w:color w:val="auto"/>
        </w:rPr>
      </w:pPr>
      <w:r>
        <w:rPr>
          <w:rFonts w:ascii="Times New Roman" w:cs="Times New Roman" w:eastAsia="Times New Roman" w:hAnsi="Times New Roman"/>
          <w:sz w:val="14"/>
          <w:szCs w:val="14"/>
          <w:color w:val="auto"/>
        </w:rPr>
        <w:t>Unless the context otherwise requires, the terms defined in this Section 1.01 shall for all purposes of this Indenture have the meanings hereinafter set forth:</w:t>
      </w:r>
    </w:p>
    <w:p>
      <w:pPr>
        <w:spacing w:after="0" w:line="3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4"/>
          <w:szCs w:val="14"/>
          <w:b w:val="1"/>
          <w:bCs w:val="1"/>
          <w:color w:val="auto"/>
        </w:rPr>
        <w:t>Affiliate:</w:t>
      </w:r>
    </w:p>
    <w:p>
      <w:pPr>
        <w:spacing w:after="0" w:line="96" w:lineRule="exact"/>
        <w:rPr>
          <w:sz w:val="20"/>
          <w:szCs w:val="20"/>
          <w:color w:val="auto"/>
        </w:rPr>
      </w:pPr>
    </w:p>
    <w:p>
      <w:pPr>
        <w:ind w:left="160" w:right="199" w:firstLine="347"/>
        <w:spacing w:after="0" w:line="265" w:lineRule="auto"/>
        <w:rPr>
          <w:sz w:val="20"/>
          <w:szCs w:val="20"/>
          <w:color w:val="auto"/>
        </w:rPr>
      </w:pPr>
      <w:r>
        <w:rPr>
          <w:rFonts w:ascii="Times New Roman" w:cs="Times New Roman" w:eastAsia="Times New Roman" w:hAnsi="Times New Roman"/>
          <w:sz w:val="14"/>
          <w:szCs w:val="14"/>
          <w:color w:val="auto"/>
        </w:rPr>
        <w:t>The term “Affiliate,” with respect to any specified Person shall mean any other Person directly or indirectly controlling or controlled by or under direct or indirect common control with such specified Person. For the purposes of this definition, “control” when used with respect to any specified Person means the power to direct the management and policies of such Person, directly or indirectly, whether through the ownership of voting securities, by contract or otherwise; and the terms “controlling” and “controlled” have meanings correlative to the foregoing.</w:t>
      </w:r>
    </w:p>
    <w:p>
      <w:pPr>
        <w:spacing w:after="0" w:line="22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4"/>
          <w:szCs w:val="14"/>
          <w:b w:val="1"/>
          <w:bCs w:val="1"/>
          <w:color w:val="auto"/>
        </w:rPr>
        <w:t>Applicable Tax Law:</w:t>
      </w:r>
    </w:p>
    <w:p>
      <w:pPr>
        <w:spacing w:after="0" w:line="9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The term “Applicable Tax Law” shall have the meaning assigned to it in Section 16.14.</w:t>
      </w:r>
    </w:p>
    <w:p>
      <w:pPr>
        <w:spacing w:after="0" w:line="26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4"/>
          <w:szCs w:val="14"/>
          <w:b w:val="1"/>
          <w:bCs w:val="1"/>
          <w:color w:val="auto"/>
        </w:rPr>
        <w:t>Authenticating Agent:</w:t>
      </w:r>
    </w:p>
    <w:p>
      <w:pPr>
        <w:spacing w:after="0" w:line="9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The term “Authenticating Agent” shall have the meaning assigned to it in Section 11.09.</w:t>
      </w:r>
    </w:p>
    <w:p>
      <w:pPr>
        <w:spacing w:after="0" w:line="26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4"/>
          <w:szCs w:val="14"/>
          <w:b w:val="1"/>
          <w:bCs w:val="1"/>
          <w:color w:val="auto"/>
        </w:rPr>
        <w:t>Authorized Agent:</w:t>
      </w:r>
    </w:p>
    <w:p>
      <w:pPr>
        <w:spacing w:after="0" w:line="9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The term “Authorized Agent” shall have the meaning assigned to it in Section 16.11.</w:t>
      </w:r>
    </w:p>
    <w:p>
      <w:pPr>
        <w:spacing w:after="0" w:line="26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4"/>
          <w:szCs w:val="14"/>
          <w:b w:val="1"/>
          <w:bCs w:val="1"/>
          <w:color w:val="auto"/>
        </w:rPr>
        <w:t>Authorized Officers:</w:t>
      </w:r>
    </w:p>
    <w:p>
      <w:pPr>
        <w:spacing w:after="0" w:line="9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The term “Authorized Officers” shall have the meaning assigned to it in Section 16.13.</w:t>
      </w:r>
    </w:p>
    <w:p>
      <w:pPr>
        <w:spacing w:after="0" w:line="26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4"/>
          <w:szCs w:val="14"/>
          <w:b w:val="1"/>
          <w:bCs w:val="1"/>
          <w:color w:val="auto"/>
        </w:rPr>
        <w:t>Board of Directors:</w:t>
      </w:r>
    </w:p>
    <w:p>
      <w:pPr>
        <w:spacing w:after="0" w:line="96" w:lineRule="exact"/>
        <w:rPr>
          <w:sz w:val="20"/>
          <w:szCs w:val="20"/>
          <w:color w:val="auto"/>
        </w:rPr>
      </w:pPr>
    </w:p>
    <w:p>
      <w:pPr>
        <w:ind w:left="160" w:right="219" w:firstLine="347"/>
        <w:spacing w:after="0" w:line="288" w:lineRule="auto"/>
        <w:rPr>
          <w:sz w:val="20"/>
          <w:szCs w:val="20"/>
          <w:color w:val="auto"/>
        </w:rPr>
      </w:pPr>
      <w:r>
        <w:rPr>
          <w:rFonts w:ascii="Times New Roman" w:cs="Times New Roman" w:eastAsia="Times New Roman" w:hAnsi="Times New Roman"/>
          <w:sz w:val="14"/>
          <w:szCs w:val="14"/>
          <w:color w:val="auto"/>
        </w:rPr>
        <w:t>The term “Board of Directors” shall mean either the board of directors of the Company or the executive or any other committee of that board duly authorized to act in respect hereof.</w:t>
      </w:r>
    </w:p>
    <w:p>
      <w:pPr>
        <w:spacing w:after="0" w:line="20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4"/>
          <w:szCs w:val="14"/>
          <w:b w:val="1"/>
          <w:bCs w:val="1"/>
          <w:color w:val="auto"/>
        </w:rPr>
        <w:t>Board Resolution:</w:t>
      </w:r>
    </w:p>
    <w:p>
      <w:pPr>
        <w:spacing w:after="0" w:line="96" w:lineRule="exact"/>
        <w:rPr>
          <w:sz w:val="20"/>
          <w:szCs w:val="20"/>
          <w:color w:val="auto"/>
        </w:rPr>
      </w:pPr>
    </w:p>
    <w:p>
      <w:pPr>
        <w:jc w:val="both"/>
        <w:ind w:left="160" w:right="259" w:firstLine="347"/>
        <w:spacing w:after="0" w:line="265" w:lineRule="auto"/>
        <w:rPr>
          <w:sz w:val="20"/>
          <w:szCs w:val="20"/>
          <w:color w:val="auto"/>
        </w:rPr>
      </w:pPr>
      <w:r>
        <w:rPr>
          <w:rFonts w:ascii="Times New Roman" w:cs="Times New Roman" w:eastAsia="Times New Roman" w:hAnsi="Times New Roman"/>
          <w:sz w:val="14"/>
          <w:szCs w:val="14"/>
          <w:color w:val="auto"/>
        </w:rPr>
        <w:t>The term “Board Resolution” shall mean a copy of a resolution or resolutions certified by the Secretary or an Assistant Secretary of the Company to have been duly adopted by the Board of Directors (or by a committee of the Board of Directors to the extent that any such other committee has been authorized by the Board of Directors to establish or approve the matters contemplated) and to be in full force and effect on the date of such certification and delivered to the Trustee.</w:t>
      </w:r>
    </w:p>
    <w:p>
      <w:pPr>
        <w:spacing w:after="0" w:line="22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4"/>
          <w:szCs w:val="14"/>
          <w:b w:val="1"/>
          <w:bCs w:val="1"/>
          <w:color w:val="auto"/>
        </w:rPr>
        <w:t>Business Day:</w:t>
      </w:r>
    </w:p>
    <w:p>
      <w:pPr>
        <w:spacing w:after="0" w:line="96" w:lineRule="exact"/>
        <w:rPr>
          <w:sz w:val="20"/>
          <w:szCs w:val="20"/>
          <w:color w:val="auto"/>
        </w:rPr>
      </w:pPr>
    </w:p>
    <w:p>
      <w:pPr>
        <w:ind w:left="160" w:right="359" w:firstLine="347"/>
        <w:spacing w:after="0" w:line="271" w:lineRule="auto"/>
        <w:rPr>
          <w:sz w:val="20"/>
          <w:szCs w:val="20"/>
          <w:color w:val="auto"/>
        </w:rPr>
      </w:pPr>
      <w:r>
        <w:rPr>
          <w:rFonts w:ascii="Times New Roman" w:cs="Times New Roman" w:eastAsia="Times New Roman" w:hAnsi="Times New Roman"/>
          <w:sz w:val="14"/>
          <w:szCs w:val="14"/>
          <w:color w:val="auto"/>
        </w:rPr>
        <w:t>The term “Business Day,” when used with respect to any Place of Payment or any other particular location referred to in this Indenture or in the Securities, shall mean each Monday, Tuesday, Wednesday, Thursday and Friday which is not a day on which banking institutions in that Place of Payment or such location are authorized or required by law, regulation or executive order to close.</w:t>
      </w:r>
    </w:p>
    <w:p>
      <w:pPr>
        <w:spacing w:after="0" w:line="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w:t>
      </w:r>
    </w:p>
    <w:p>
      <w:pPr>
        <w:sectPr>
          <w:pgSz w:w="11900" w:h="16838" w:orient="portrait"/>
          <w:cols w:equalWidth="0" w:num="1">
            <w:col w:w="9019"/>
          </w:cols>
          <w:pgMar w:left="1440" w:top="242" w:right="1440" w:bottom="1440" w:gutter="0" w:footer="0" w:header="0"/>
        </w:sectPr>
      </w:pPr>
    </w:p>
    <w:bookmarkStart w:id="36" w:name="page37"/>
    <w:bookmarkEnd w:id="36"/>
    <w:p>
      <w:pPr>
        <w:ind w:left="160"/>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7">
                      <a:extLst>
                        <a:ext uri="{28A0092B-C50C-407E-A947-70E740481C1C}"/>
                      </a:extLst>
                    </a:blip>
                    <a:srcRect/>
                    <a:stretch>
                      <a:fillRect/>
                    </a:stretch>
                  </pic:blipFill>
                  <pic:spPr bwMode="auto">
                    <a:xfrm>
                      <a:off x="0" y="0"/>
                      <a:ext cx="7200265" cy="33020"/>
                    </a:xfrm>
                    <a:prstGeom prst="rect">
                      <a:avLst/>
                    </a:prstGeom>
                    <a:noFill/>
                  </pic:spPr>
                </pic:pic>
              </a:graphicData>
            </a:graphic>
          </wp:anchor>
        </w:drawing>
        <w:t>Capital Stock:</w:t>
      </w:r>
    </w:p>
    <w:p>
      <w:pPr>
        <w:spacing w:after="0" w:line="9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The term “Capital Stock” shall mean:</w:t>
      </w:r>
    </w:p>
    <w:p>
      <w:pPr>
        <w:spacing w:after="0" w:line="94" w:lineRule="exact"/>
        <w:rPr>
          <w:sz w:val="20"/>
          <w:szCs w:val="20"/>
          <w:color w:val="auto"/>
        </w:rPr>
      </w:pPr>
    </w:p>
    <w:p>
      <w:pPr>
        <w:ind w:left="1140" w:hanging="196"/>
        <w:spacing w:after="0"/>
        <w:tabs>
          <w:tab w:leader="none" w:pos="114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the case of a corporation, corporate stock;</w:t>
      </w:r>
    </w:p>
    <w:p>
      <w:pPr>
        <w:spacing w:after="0" w:line="179" w:lineRule="exact"/>
        <w:rPr>
          <w:rFonts w:ascii="Times New Roman" w:cs="Times New Roman" w:eastAsia="Times New Roman" w:hAnsi="Times New Roman"/>
          <w:sz w:val="14"/>
          <w:szCs w:val="14"/>
          <w:color w:val="auto"/>
        </w:rPr>
      </w:pPr>
    </w:p>
    <w:p>
      <w:pPr>
        <w:ind w:left="160" w:right="679" w:firstLine="784"/>
        <w:spacing w:after="0" w:line="288" w:lineRule="auto"/>
        <w:tabs>
          <w:tab w:leader="none" w:pos="1142"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the case of an association or business entity, any and all shares, interests, participations, rights or other equivalents (however designated) of corporate stock;</w:t>
      </w:r>
    </w:p>
    <w:p>
      <w:pPr>
        <w:spacing w:after="0" w:line="124" w:lineRule="exact"/>
        <w:rPr>
          <w:rFonts w:ascii="Times New Roman" w:cs="Times New Roman" w:eastAsia="Times New Roman" w:hAnsi="Times New Roman"/>
          <w:sz w:val="14"/>
          <w:szCs w:val="14"/>
          <w:color w:val="auto"/>
        </w:rPr>
      </w:pPr>
    </w:p>
    <w:p>
      <w:pPr>
        <w:ind w:left="1140" w:hanging="196"/>
        <w:spacing w:after="0"/>
        <w:tabs>
          <w:tab w:leader="none" w:pos="114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the case of a partnership or limited liability company, partnership interests (whether general or limited) or membership interests; and</w:t>
      </w:r>
    </w:p>
    <w:p>
      <w:pPr>
        <w:spacing w:after="0" w:line="179" w:lineRule="exact"/>
        <w:rPr>
          <w:rFonts w:ascii="Times New Roman" w:cs="Times New Roman" w:eastAsia="Times New Roman" w:hAnsi="Times New Roman"/>
          <w:sz w:val="14"/>
          <w:szCs w:val="14"/>
          <w:color w:val="auto"/>
        </w:rPr>
      </w:pPr>
    </w:p>
    <w:p>
      <w:pPr>
        <w:ind w:left="160" w:right="419" w:firstLine="784"/>
        <w:spacing w:after="0" w:line="271" w:lineRule="auto"/>
        <w:tabs>
          <w:tab w:leader="none" w:pos="1142"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other interest or participation that confers on a Person the right to receive a share of the profits and losses of, or distributions of assets of, the issuing Person, but excluding from all of the foregoing any debt securities convertible into Capital Stock, whether or not such debt securities include any right of participation with Capital Stock.</w:t>
      </w:r>
    </w:p>
    <w:p>
      <w:pPr>
        <w:spacing w:after="0" w:line="21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4"/>
          <w:szCs w:val="14"/>
          <w:b w:val="1"/>
          <w:bCs w:val="1"/>
          <w:color w:val="auto"/>
        </w:rPr>
        <w:t>Code:</w:t>
      </w:r>
    </w:p>
    <w:p>
      <w:pPr>
        <w:spacing w:after="0" w:line="9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The term “Code” shall mean the Internal Revenue Code of 1986, as amended.</w:t>
      </w:r>
    </w:p>
    <w:p>
      <w:pPr>
        <w:spacing w:after="0" w:line="26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4"/>
          <w:szCs w:val="14"/>
          <w:b w:val="1"/>
          <w:bCs w:val="1"/>
          <w:color w:val="auto"/>
        </w:rPr>
        <w:t>Company:</w:t>
      </w:r>
    </w:p>
    <w:p>
      <w:pPr>
        <w:spacing w:after="0" w:line="96" w:lineRule="exact"/>
        <w:rPr>
          <w:sz w:val="20"/>
          <w:szCs w:val="20"/>
          <w:color w:val="auto"/>
        </w:rPr>
      </w:pPr>
    </w:p>
    <w:p>
      <w:pPr>
        <w:ind w:left="160" w:right="319" w:firstLine="347"/>
        <w:spacing w:after="0" w:line="288" w:lineRule="auto"/>
        <w:rPr>
          <w:sz w:val="20"/>
          <w:szCs w:val="20"/>
          <w:color w:val="auto"/>
        </w:rPr>
      </w:pPr>
      <w:r>
        <w:rPr>
          <w:rFonts w:ascii="Times New Roman" w:cs="Times New Roman" w:eastAsia="Times New Roman" w:hAnsi="Times New Roman"/>
          <w:sz w:val="14"/>
          <w:szCs w:val="14"/>
          <w:color w:val="auto"/>
        </w:rPr>
        <w:t>The term “Company” shall mean the Person named as the “Company” in the first paragraph of this Indenture until a successor Person shall have become such pursuant to the applicable provisions of this Indenture, and thereafter “Company” shall mean such successor Person.</w:t>
      </w:r>
    </w:p>
    <w:p>
      <w:pPr>
        <w:spacing w:after="0" w:line="20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4"/>
          <w:szCs w:val="14"/>
          <w:b w:val="1"/>
          <w:bCs w:val="1"/>
          <w:color w:val="auto"/>
        </w:rPr>
        <w:t>Company Order:</w:t>
      </w:r>
    </w:p>
    <w:p>
      <w:pPr>
        <w:spacing w:after="0" w:line="9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The term “Company Order” shall mean a written order signed in the name of the Company by any Officer and delivered to the Trustee.</w:t>
      </w:r>
    </w:p>
    <w:p>
      <w:pPr>
        <w:spacing w:after="0" w:line="26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4"/>
          <w:szCs w:val="14"/>
          <w:b w:val="1"/>
          <w:bCs w:val="1"/>
          <w:color w:val="auto"/>
        </w:rPr>
        <w:t>Corporate Trust Office:</w:t>
      </w:r>
    </w:p>
    <w:p>
      <w:pPr>
        <w:spacing w:after="0" w:line="96" w:lineRule="exact"/>
        <w:rPr>
          <w:sz w:val="20"/>
          <w:szCs w:val="20"/>
          <w:color w:val="auto"/>
        </w:rPr>
      </w:pPr>
    </w:p>
    <w:p>
      <w:pPr>
        <w:ind w:left="160" w:right="179" w:firstLine="347"/>
        <w:spacing w:after="0" w:line="262" w:lineRule="auto"/>
        <w:rPr>
          <w:sz w:val="20"/>
          <w:szCs w:val="20"/>
          <w:color w:val="auto"/>
        </w:rPr>
      </w:pPr>
      <w:r>
        <w:rPr>
          <w:rFonts w:ascii="Times New Roman" w:cs="Times New Roman" w:eastAsia="Times New Roman" w:hAnsi="Times New Roman"/>
          <w:sz w:val="14"/>
          <w:szCs w:val="14"/>
          <w:color w:val="auto"/>
        </w:rPr>
        <w:t>The term “Corporate Trust Office,” or other similar term, shall mean the principal office of the Trustee at which at any particular time its corporate trust business shall be administered, which office at the date hereof is located at 240 Greenwich Street, Floor 7 East, New York, New York 10286, Attention: International Corporate Trust or such other address as the Trustee may designate from time to time by notice to the Holders and the Company, or the principal corporate trust office of any successor Trustee (or such other address as such successor Trustee may designate from time to time by notice to the Holders and the Company).</w:t>
      </w:r>
    </w:p>
    <w:p>
      <w:pPr>
        <w:spacing w:after="0" w:line="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w:t>
      </w:r>
    </w:p>
    <w:p>
      <w:pPr>
        <w:sectPr>
          <w:pgSz w:w="11900" w:h="16838" w:orient="portrait"/>
          <w:cols w:equalWidth="0" w:num="1">
            <w:col w:w="9019"/>
          </w:cols>
          <w:pgMar w:left="1440" w:top="240" w:right="1440" w:bottom="1440" w:gutter="0" w:footer="0" w:header="0"/>
        </w:sectPr>
      </w:pPr>
    </w:p>
    <w:bookmarkStart w:id="37" w:name="page38"/>
    <w:bookmarkEnd w:id="37"/>
    <w:p>
      <w:pPr>
        <w:ind w:left="160"/>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8">
                      <a:extLst>
                        <a:ext uri="{28A0092B-C50C-407E-A947-70E740481C1C}"/>
                      </a:extLst>
                    </a:blip>
                    <a:srcRect/>
                    <a:stretch>
                      <a:fillRect/>
                    </a:stretch>
                  </pic:blipFill>
                  <pic:spPr bwMode="auto">
                    <a:xfrm>
                      <a:off x="0" y="0"/>
                      <a:ext cx="7200265" cy="33020"/>
                    </a:xfrm>
                    <a:prstGeom prst="rect">
                      <a:avLst/>
                    </a:prstGeom>
                    <a:noFill/>
                  </pic:spPr>
                </pic:pic>
              </a:graphicData>
            </a:graphic>
          </wp:anchor>
        </w:drawing>
        <w:t>Currency:</w:t>
      </w:r>
    </w:p>
    <w:p>
      <w:pPr>
        <w:spacing w:after="0" w:line="9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The term “Currency” shall mean U.S. Dollars or Foreign Currency.</w:t>
      </w:r>
    </w:p>
    <w:p>
      <w:pPr>
        <w:spacing w:after="0" w:line="26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4"/>
          <w:szCs w:val="14"/>
          <w:b w:val="1"/>
          <w:bCs w:val="1"/>
          <w:color w:val="auto"/>
        </w:rPr>
        <w:t>Default:</w:t>
      </w:r>
    </w:p>
    <w:p>
      <w:pPr>
        <w:spacing w:after="0" w:line="9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The term “Default” shall have the meaning assigned to it in Section 11.03.</w:t>
      </w:r>
    </w:p>
    <w:p>
      <w:pPr>
        <w:spacing w:after="0" w:line="26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4"/>
          <w:szCs w:val="14"/>
          <w:b w:val="1"/>
          <w:bCs w:val="1"/>
          <w:color w:val="auto"/>
        </w:rPr>
        <w:t>Defaulted Interest:</w:t>
      </w:r>
    </w:p>
    <w:p>
      <w:pPr>
        <w:spacing w:after="0" w:line="9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The term “Defaulted Interest” shall have the same meaning assigned to it in Section 3.08(b).</w:t>
      </w:r>
    </w:p>
    <w:p>
      <w:pPr>
        <w:spacing w:after="0" w:line="26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4"/>
          <w:szCs w:val="14"/>
          <w:b w:val="1"/>
          <w:bCs w:val="1"/>
          <w:color w:val="auto"/>
        </w:rPr>
        <w:t>Depositary:</w:t>
      </w:r>
    </w:p>
    <w:p>
      <w:pPr>
        <w:spacing w:after="0" w:line="96" w:lineRule="exact"/>
        <w:rPr>
          <w:sz w:val="20"/>
          <w:szCs w:val="20"/>
          <w:color w:val="auto"/>
        </w:rPr>
      </w:pPr>
    </w:p>
    <w:p>
      <w:pPr>
        <w:ind w:left="160" w:right="259" w:firstLine="347"/>
        <w:spacing w:after="0" w:line="262" w:lineRule="auto"/>
        <w:rPr>
          <w:sz w:val="20"/>
          <w:szCs w:val="20"/>
          <w:color w:val="auto"/>
        </w:rPr>
      </w:pPr>
      <w:r>
        <w:rPr>
          <w:rFonts w:ascii="Times New Roman" w:cs="Times New Roman" w:eastAsia="Times New Roman" w:hAnsi="Times New Roman"/>
          <w:sz w:val="14"/>
          <w:szCs w:val="14"/>
          <w:color w:val="auto"/>
        </w:rPr>
        <w:t>The term “Depositary” shall mean, with respect to the Securities of any series issuable or issued in whole or in part in the form of one or more Global Securities, each Person designated as Depositary for such series by the Company pursuant to Section 3.01 until one or more successor Depositaries shall have become such pursuant to the applicable provisions of this Indenture, and thereafter “Depositary” shall mean or include each Person who is then a Depositary hereunder, and if at any time there is more than one such Person, “Depositary” as used with respect to the Securities of any such series shall mean the Depositary with respect to the Securities of that series.</w:t>
      </w:r>
    </w:p>
    <w:p>
      <w:pPr>
        <w:spacing w:after="0" w:line="226"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4"/>
          <w:szCs w:val="14"/>
          <w:b w:val="1"/>
          <w:bCs w:val="1"/>
          <w:color w:val="auto"/>
        </w:rPr>
        <w:t>Designated Currency:</w:t>
      </w:r>
    </w:p>
    <w:p>
      <w:pPr>
        <w:spacing w:after="0" w:line="9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The term “Designated Currency” shall have the same meaning assigned to it in Section 3.12.</w:t>
      </w:r>
    </w:p>
    <w:p>
      <w:pPr>
        <w:spacing w:after="0" w:line="26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4"/>
          <w:szCs w:val="14"/>
          <w:b w:val="1"/>
          <w:bCs w:val="1"/>
          <w:color w:val="auto"/>
        </w:rPr>
        <w:t>Discharged:</w:t>
      </w:r>
    </w:p>
    <w:p>
      <w:pPr>
        <w:spacing w:after="0" w:line="9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The term “Discharged” shall have the meaning assigned to it in Section 12.03.</w:t>
      </w:r>
    </w:p>
    <w:p>
      <w:pPr>
        <w:spacing w:after="0" w:line="26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4"/>
          <w:szCs w:val="14"/>
          <w:b w:val="1"/>
          <w:bCs w:val="1"/>
          <w:color w:val="auto"/>
        </w:rPr>
        <w:t>DTC:</w:t>
      </w:r>
    </w:p>
    <w:p>
      <w:pPr>
        <w:spacing w:after="0" w:line="9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The term “DTC” shall mean The Depository Trust Company, Inc. and its successors.</w:t>
      </w:r>
    </w:p>
    <w:p>
      <w:pPr>
        <w:spacing w:after="0" w:line="26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4"/>
          <w:szCs w:val="14"/>
          <w:b w:val="1"/>
          <w:bCs w:val="1"/>
          <w:color w:val="auto"/>
        </w:rPr>
        <w:t>Electronic Means:</w:t>
      </w:r>
    </w:p>
    <w:p>
      <w:pPr>
        <w:spacing w:after="0" w:line="96" w:lineRule="exact"/>
        <w:rPr>
          <w:sz w:val="20"/>
          <w:szCs w:val="20"/>
          <w:color w:val="auto"/>
        </w:rPr>
      </w:pPr>
    </w:p>
    <w:p>
      <w:pPr>
        <w:jc w:val="both"/>
        <w:ind w:left="160" w:right="559" w:firstLine="347"/>
        <w:spacing w:after="0" w:line="271" w:lineRule="auto"/>
        <w:rPr>
          <w:sz w:val="20"/>
          <w:szCs w:val="20"/>
          <w:color w:val="auto"/>
        </w:rPr>
      </w:pPr>
      <w:r>
        <w:rPr>
          <w:rFonts w:ascii="Times New Roman" w:cs="Times New Roman" w:eastAsia="Times New Roman" w:hAnsi="Times New Roman"/>
          <w:sz w:val="14"/>
          <w:szCs w:val="14"/>
          <w:color w:val="auto"/>
        </w:rPr>
        <w:t>The term “Electronic Means” shall mean the following communications methods: S.W.I.F.T., e-mail (with a .pdf attached), secure electronic transmission containing applicable authorization codes, passwords and/or authentication keys issued by the Trustee, or another method or system specified by the Trustee as available for use in connection with its services hereunder.</w:t>
      </w:r>
    </w:p>
    <w:p>
      <w:pPr>
        <w:spacing w:after="0" w:line="21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4"/>
          <w:szCs w:val="14"/>
          <w:b w:val="1"/>
          <w:bCs w:val="1"/>
          <w:color w:val="auto"/>
        </w:rPr>
        <w:t>Event of Default:</w:t>
      </w:r>
    </w:p>
    <w:p>
      <w:pPr>
        <w:spacing w:after="0" w:line="9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The term “Event of Default” shall have the meaning specified in Section 7.01.</w:t>
      </w:r>
    </w:p>
    <w:p>
      <w:pPr>
        <w:spacing w:after="0" w:line="126"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4"/>
          <w:szCs w:val="14"/>
          <w:color w:val="auto"/>
        </w:rPr>
        <w:t>4</w:t>
      </w:r>
    </w:p>
    <w:p>
      <w:pPr>
        <w:sectPr>
          <w:pgSz w:w="11900" w:h="16838" w:orient="portrait"/>
          <w:cols w:equalWidth="0" w:num="1">
            <w:col w:w="9019"/>
          </w:cols>
          <w:pgMar w:left="1440" w:top="240" w:right="1440" w:bottom="1440" w:gutter="0" w:footer="0" w:header="0"/>
        </w:sectPr>
      </w:pPr>
    </w:p>
    <w:bookmarkStart w:id="38" w:name="page39"/>
    <w:bookmarkEnd w:id="38"/>
    <w:p>
      <w:pPr>
        <w:ind w:left="160"/>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9">
                      <a:extLst>
                        <a:ext uri="{28A0092B-C50C-407E-A947-70E740481C1C}"/>
                      </a:extLst>
                    </a:blip>
                    <a:srcRect/>
                    <a:stretch>
                      <a:fillRect/>
                    </a:stretch>
                  </pic:blipFill>
                  <pic:spPr bwMode="auto">
                    <a:xfrm>
                      <a:off x="0" y="0"/>
                      <a:ext cx="7200265" cy="33020"/>
                    </a:xfrm>
                    <a:prstGeom prst="rect">
                      <a:avLst/>
                    </a:prstGeom>
                    <a:noFill/>
                  </pic:spPr>
                </pic:pic>
              </a:graphicData>
            </a:graphic>
          </wp:anchor>
        </w:drawing>
        <w:t>Exchange Act:</w:t>
      </w:r>
    </w:p>
    <w:p>
      <w:pPr>
        <w:spacing w:after="0" w:line="96" w:lineRule="exact"/>
        <w:rPr>
          <w:sz w:val="20"/>
          <w:szCs w:val="20"/>
          <w:color w:val="auto"/>
        </w:rPr>
      </w:pPr>
    </w:p>
    <w:p>
      <w:pPr>
        <w:ind w:left="160" w:right="339" w:firstLine="347"/>
        <w:spacing w:after="0" w:line="288" w:lineRule="auto"/>
        <w:rPr>
          <w:sz w:val="20"/>
          <w:szCs w:val="20"/>
          <w:color w:val="auto"/>
        </w:rPr>
      </w:pPr>
      <w:r>
        <w:rPr>
          <w:rFonts w:ascii="Times New Roman" w:cs="Times New Roman" w:eastAsia="Times New Roman" w:hAnsi="Times New Roman"/>
          <w:sz w:val="14"/>
          <w:szCs w:val="14"/>
          <w:color w:val="auto"/>
        </w:rPr>
        <w:t>The term “Exchange Act” shall mean the United States Securities Exchange Act of 1934, and the rules and regulations promulgated by the SEC thereunder and any statute successor thereto, in each case as amended from time to time.</w:t>
      </w:r>
    </w:p>
    <w:p>
      <w:pPr>
        <w:spacing w:after="0" w:line="20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4"/>
          <w:szCs w:val="14"/>
          <w:b w:val="1"/>
          <w:bCs w:val="1"/>
          <w:color w:val="auto"/>
        </w:rPr>
        <w:t>Exchange Rate:</w:t>
      </w:r>
    </w:p>
    <w:p>
      <w:pPr>
        <w:spacing w:after="0" w:line="9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The term “Exchange Rate” shall have the meaning assigned to it in Section 7.01.</w:t>
      </w:r>
    </w:p>
    <w:p>
      <w:pPr>
        <w:spacing w:after="0" w:line="26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4"/>
          <w:szCs w:val="14"/>
          <w:b w:val="1"/>
          <w:bCs w:val="1"/>
          <w:color w:val="auto"/>
        </w:rPr>
        <w:t>Floating Rate Security:</w:t>
      </w:r>
    </w:p>
    <w:p>
      <w:pPr>
        <w:spacing w:after="0" w:line="96" w:lineRule="exact"/>
        <w:rPr>
          <w:sz w:val="20"/>
          <w:szCs w:val="20"/>
          <w:color w:val="auto"/>
        </w:rPr>
      </w:pPr>
    </w:p>
    <w:p>
      <w:pPr>
        <w:ind w:left="160" w:right="459" w:firstLine="347"/>
        <w:spacing w:after="0" w:line="288" w:lineRule="auto"/>
        <w:rPr>
          <w:sz w:val="20"/>
          <w:szCs w:val="20"/>
          <w:color w:val="auto"/>
        </w:rPr>
      </w:pPr>
      <w:r>
        <w:rPr>
          <w:rFonts w:ascii="Times New Roman" w:cs="Times New Roman" w:eastAsia="Times New Roman" w:hAnsi="Times New Roman"/>
          <w:sz w:val="14"/>
          <w:szCs w:val="14"/>
          <w:color w:val="auto"/>
        </w:rPr>
        <w:t>The term “Floating Rate Security” shall mean a Security that provides for the payment of interest at a variable rate determined periodically by reference to an interest rate index specified pursuant to Section 3.01.</w:t>
      </w:r>
    </w:p>
    <w:p>
      <w:pPr>
        <w:spacing w:after="0" w:line="20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4"/>
          <w:szCs w:val="14"/>
          <w:b w:val="1"/>
          <w:bCs w:val="1"/>
          <w:color w:val="auto"/>
        </w:rPr>
        <w:t>Foreign Currency:</w:t>
      </w:r>
    </w:p>
    <w:p>
      <w:pPr>
        <w:spacing w:after="0" w:line="96" w:lineRule="exact"/>
        <w:rPr>
          <w:sz w:val="20"/>
          <w:szCs w:val="20"/>
          <w:color w:val="auto"/>
        </w:rPr>
      </w:pPr>
    </w:p>
    <w:p>
      <w:pPr>
        <w:ind w:left="160" w:right="719" w:firstLine="347"/>
        <w:spacing w:after="0" w:line="288" w:lineRule="auto"/>
        <w:rPr>
          <w:sz w:val="20"/>
          <w:szCs w:val="20"/>
          <w:color w:val="auto"/>
        </w:rPr>
      </w:pPr>
      <w:r>
        <w:rPr>
          <w:rFonts w:ascii="Times New Roman" w:cs="Times New Roman" w:eastAsia="Times New Roman" w:hAnsi="Times New Roman"/>
          <w:sz w:val="14"/>
          <w:szCs w:val="14"/>
          <w:color w:val="auto"/>
        </w:rPr>
        <w:t>The term “Foreign Currency” shall mean a currency issued by the government of any country other than the United States or a composite currency, the value of which is determined by reference to the values of the currencies of any group of countries.</w:t>
      </w:r>
    </w:p>
    <w:p>
      <w:pPr>
        <w:spacing w:after="0" w:line="20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4"/>
          <w:szCs w:val="14"/>
          <w:b w:val="1"/>
          <w:bCs w:val="1"/>
          <w:color w:val="auto"/>
        </w:rPr>
        <w:t>Global Security:</w:t>
      </w:r>
    </w:p>
    <w:p>
      <w:pPr>
        <w:spacing w:after="0" w:line="96" w:lineRule="exact"/>
        <w:rPr>
          <w:sz w:val="20"/>
          <w:szCs w:val="20"/>
          <w:color w:val="auto"/>
        </w:rPr>
      </w:pPr>
    </w:p>
    <w:p>
      <w:pPr>
        <w:ind w:left="160" w:right="299" w:firstLine="347"/>
        <w:spacing w:after="0" w:line="288" w:lineRule="auto"/>
        <w:rPr>
          <w:sz w:val="20"/>
          <w:szCs w:val="20"/>
          <w:color w:val="auto"/>
        </w:rPr>
      </w:pPr>
      <w:r>
        <w:rPr>
          <w:rFonts w:ascii="Times New Roman" w:cs="Times New Roman" w:eastAsia="Times New Roman" w:hAnsi="Times New Roman"/>
          <w:sz w:val="14"/>
          <w:szCs w:val="14"/>
          <w:color w:val="auto"/>
        </w:rPr>
        <w:t>The term “Global Security” shall mean any Security that evidences all or part of a series of Securities, issued in fully-registered certificated form to the Depositary for such series in accordance with Section 3.03 and bearing the legend prescribed in Section 3.03(g).</w:t>
      </w:r>
    </w:p>
    <w:p>
      <w:pPr>
        <w:spacing w:after="0" w:line="20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4"/>
          <w:szCs w:val="14"/>
          <w:b w:val="1"/>
          <w:bCs w:val="1"/>
          <w:color w:val="auto"/>
        </w:rPr>
        <w:t>Holder; Holder of Securities:</w:t>
      </w:r>
    </w:p>
    <w:p>
      <w:pPr>
        <w:spacing w:after="0" w:line="9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The terms “Holder” and “Holder of Securities” are defined under “Securityholder; Holder of Securities; Holder.”</w:t>
      </w:r>
    </w:p>
    <w:p>
      <w:pPr>
        <w:spacing w:after="0" w:line="26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4"/>
          <w:szCs w:val="14"/>
          <w:b w:val="1"/>
          <w:bCs w:val="1"/>
          <w:color w:val="auto"/>
        </w:rPr>
        <w:t>IFRS:</w:t>
      </w:r>
    </w:p>
    <w:p>
      <w:pPr>
        <w:spacing w:after="0" w:line="96" w:lineRule="exact"/>
        <w:rPr>
          <w:sz w:val="20"/>
          <w:szCs w:val="20"/>
          <w:color w:val="auto"/>
        </w:rPr>
      </w:pPr>
    </w:p>
    <w:p>
      <w:pPr>
        <w:ind w:left="160" w:right="419" w:firstLine="347"/>
        <w:spacing w:after="0" w:line="265" w:lineRule="auto"/>
        <w:rPr>
          <w:sz w:val="20"/>
          <w:szCs w:val="20"/>
          <w:color w:val="auto"/>
        </w:rPr>
      </w:pPr>
      <w:r>
        <w:rPr>
          <w:rFonts w:ascii="Times New Roman" w:cs="Times New Roman" w:eastAsia="Times New Roman" w:hAnsi="Times New Roman"/>
          <w:sz w:val="14"/>
          <w:szCs w:val="14"/>
          <w:color w:val="auto"/>
        </w:rPr>
        <w:t>The term “IFRS,” with respect to any computations required or permitted hereunder, shall mean the standards and interpretations issued by the International Accounting Standards Board as in effect from time to time; provided, however if the Company is required by the SEC to adopt (or is permitted to adopt and so adopts) a different accounting framework, including but not limited to the generally accepted accounting standards in the United States, “IFRS” shall mean such new accounting framework as in effect from time to time.</w:t>
      </w:r>
    </w:p>
    <w:p>
      <w:pPr>
        <w:spacing w:after="0" w:line="22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4"/>
          <w:szCs w:val="14"/>
          <w:b w:val="1"/>
          <w:bCs w:val="1"/>
          <w:color w:val="auto"/>
        </w:rPr>
        <w:t>Indebtedness:</w:t>
      </w:r>
    </w:p>
    <w:p>
      <w:pPr>
        <w:spacing w:after="0" w:line="96" w:lineRule="exact"/>
        <w:rPr>
          <w:sz w:val="20"/>
          <w:szCs w:val="20"/>
          <w:color w:val="auto"/>
        </w:rPr>
      </w:pPr>
    </w:p>
    <w:p>
      <w:pPr>
        <w:ind w:left="160" w:right="259" w:firstLine="347"/>
        <w:spacing w:after="0" w:line="288" w:lineRule="auto"/>
        <w:rPr>
          <w:sz w:val="20"/>
          <w:szCs w:val="20"/>
          <w:color w:val="auto"/>
        </w:rPr>
      </w:pPr>
      <w:r>
        <w:rPr>
          <w:rFonts w:ascii="Times New Roman" w:cs="Times New Roman" w:eastAsia="Times New Roman" w:hAnsi="Times New Roman"/>
          <w:sz w:val="14"/>
          <w:szCs w:val="14"/>
          <w:color w:val="auto"/>
        </w:rPr>
        <w:t>The term “Indebtedness” shall mean any and all obligations of a Person for money borrowed which, in accordance with IFRS, would be reflected on the balance sheet of such Person as a liability on the date as of which Indebtedness is to be determined.</w:t>
      </w:r>
    </w:p>
    <w:p>
      <w:pPr>
        <w:spacing w:after="0" w:line="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w:t>
      </w:r>
    </w:p>
    <w:p>
      <w:pPr>
        <w:sectPr>
          <w:pgSz w:w="11900" w:h="16838" w:orient="portrait"/>
          <w:cols w:equalWidth="0" w:num="1">
            <w:col w:w="9019"/>
          </w:cols>
          <w:pgMar w:left="1440" w:top="240" w:right="1440" w:bottom="1440" w:gutter="0" w:footer="0" w:header="0"/>
        </w:sectPr>
      </w:pPr>
    </w:p>
    <w:bookmarkStart w:id="39" w:name="page40"/>
    <w:bookmarkEnd w:id="39"/>
    <w:p>
      <w:pPr>
        <w:ind w:left="160"/>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0">
                      <a:extLst>
                        <a:ext uri="{28A0092B-C50C-407E-A947-70E740481C1C}"/>
                      </a:extLst>
                    </a:blip>
                    <a:srcRect/>
                    <a:stretch>
                      <a:fillRect/>
                    </a:stretch>
                  </pic:blipFill>
                  <pic:spPr bwMode="auto">
                    <a:xfrm>
                      <a:off x="0" y="0"/>
                      <a:ext cx="7200265" cy="33020"/>
                    </a:xfrm>
                    <a:prstGeom prst="rect">
                      <a:avLst/>
                    </a:prstGeom>
                    <a:noFill/>
                  </pic:spPr>
                </pic:pic>
              </a:graphicData>
            </a:graphic>
          </wp:anchor>
        </w:drawing>
        <w:t>Indenture:</w:t>
      </w:r>
    </w:p>
    <w:p>
      <w:pPr>
        <w:spacing w:after="0" w:line="96" w:lineRule="exact"/>
        <w:rPr>
          <w:sz w:val="20"/>
          <w:szCs w:val="20"/>
          <w:color w:val="auto"/>
        </w:rPr>
      </w:pPr>
    </w:p>
    <w:p>
      <w:pPr>
        <w:ind w:left="160" w:right="179" w:firstLine="347"/>
        <w:spacing w:after="0" w:line="256" w:lineRule="auto"/>
        <w:rPr>
          <w:sz w:val="20"/>
          <w:szCs w:val="20"/>
          <w:color w:val="auto"/>
        </w:rPr>
      </w:pPr>
      <w:r>
        <w:rPr>
          <w:rFonts w:ascii="Times New Roman" w:cs="Times New Roman" w:eastAsia="Times New Roman" w:hAnsi="Times New Roman"/>
          <w:sz w:val="14"/>
          <w:szCs w:val="14"/>
          <w:color w:val="auto"/>
        </w:rPr>
        <w:t>The term “Indenture” or “this Indenture” shall mean this instrument as originally executed or as it may from time to time be supplemented or amended by one or more indentures supplemental hereto entered into pursuant to the applicable provisions hereof, including, for all purposes of this instrument and any such supplemental indenture, the provisions of the Trust Indenture Act that are deemed to be a part of and govern this instrument and any such supplemental indenture, respectively. The term “Indenture” shall also include the terms of particular series of Securities established as contemplated by Section 3.01; provided, however, that if at any time more than one Person is acting as Trustee under this Indenture due to the appointment of one or more separate Trustees for any one or more separate series of Securities, “Indenture” shall mean, with respect to such series of Securities for which any such Person is Trustee, this instrument as originally executed or as it may from time to time be supplemented or amended by one or more indentures supplemental hereto entered into pursuant to the applicable provisions hereof and shall include the terms of particular series of Securities for which such Person is Trustee established as contemplated by Section 3.01, exclusive, however, of any provisions or terms which relate solely to other series of Securities for which such Person is not Trustee, regardless of when such terms or provisions were adopted, and exclusive of any provisions or terms adopted by means of one or more indentures supplemental hereto executed and delivered after such person had become such Trustee, but to which such person, as such Trustee, was not a party; provided, further, that in the event that this Indenture is supplemented or amended by one or more indentures supplemental hereto which are only applicable to certain series of Securities, the term “Indenture” for a particular series of Securities shall only include the supplemental indentures applicable thereto.</w:t>
      </w:r>
    </w:p>
    <w:p>
      <w:pPr>
        <w:spacing w:after="0" w:line="23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4"/>
          <w:szCs w:val="14"/>
          <w:b w:val="1"/>
          <w:bCs w:val="1"/>
          <w:color w:val="auto"/>
        </w:rPr>
        <w:t>Individual Securities:</w:t>
      </w:r>
    </w:p>
    <w:p>
      <w:pPr>
        <w:spacing w:after="0" w:line="9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The term “Individual Securities” shall have the meaning specified in Section 3.01(p).</w:t>
      </w:r>
    </w:p>
    <w:p>
      <w:pPr>
        <w:spacing w:after="0" w:line="26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4"/>
          <w:szCs w:val="14"/>
          <w:b w:val="1"/>
          <w:bCs w:val="1"/>
          <w:color w:val="auto"/>
        </w:rPr>
        <w:t>Instructions:</w:t>
      </w:r>
    </w:p>
    <w:p>
      <w:pPr>
        <w:spacing w:after="0" w:line="9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The term “Instructions” shall have the meaning assigned to it in Section 16.13.</w:t>
      </w:r>
    </w:p>
    <w:p>
      <w:pPr>
        <w:spacing w:after="0" w:line="26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4"/>
          <w:szCs w:val="14"/>
          <w:b w:val="1"/>
          <w:bCs w:val="1"/>
          <w:color w:val="auto"/>
        </w:rPr>
        <w:t>Interest:</w:t>
      </w:r>
    </w:p>
    <w:p>
      <w:pPr>
        <w:spacing w:after="0" w:line="96" w:lineRule="exact"/>
        <w:rPr>
          <w:sz w:val="20"/>
          <w:szCs w:val="20"/>
          <w:color w:val="auto"/>
        </w:rPr>
      </w:pPr>
    </w:p>
    <w:p>
      <w:pPr>
        <w:ind w:left="160" w:right="479" w:firstLine="347"/>
        <w:spacing w:after="0" w:line="288" w:lineRule="auto"/>
        <w:rPr>
          <w:sz w:val="20"/>
          <w:szCs w:val="20"/>
          <w:color w:val="auto"/>
        </w:rPr>
      </w:pPr>
      <w:r>
        <w:rPr>
          <w:rFonts w:ascii="Times New Roman" w:cs="Times New Roman" w:eastAsia="Times New Roman" w:hAnsi="Times New Roman"/>
          <w:sz w:val="14"/>
          <w:szCs w:val="14"/>
          <w:color w:val="auto"/>
        </w:rPr>
        <w:t>The term “interest” shall mean, unless the context otherwise requires, interest payable on any Securities, and with respect to an Original Issue Discount Security that by its terms bears interest only after Maturity, interest payable after Maturity.</w:t>
      </w:r>
    </w:p>
    <w:p>
      <w:pPr>
        <w:spacing w:after="0" w:line="20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4"/>
          <w:szCs w:val="14"/>
          <w:b w:val="1"/>
          <w:bCs w:val="1"/>
          <w:color w:val="auto"/>
        </w:rPr>
        <w:t>Interest Payment Date:</w:t>
      </w:r>
    </w:p>
    <w:p>
      <w:pPr>
        <w:spacing w:after="0" w:line="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The term “Interest Payment Date” shall mean, with respect to any Security, the Stated Maturity of an installment of interest on such Security.</w:t>
      </w:r>
    </w:p>
    <w:p>
      <w:pPr>
        <w:spacing w:after="0" w:line="26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4"/>
          <w:szCs w:val="14"/>
          <w:b w:val="1"/>
          <w:bCs w:val="1"/>
          <w:color w:val="auto"/>
        </w:rPr>
        <w:t>Mandatory Sinking Fund Payment:</w:t>
      </w:r>
    </w:p>
    <w:p>
      <w:pPr>
        <w:spacing w:after="0" w:line="9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The term “Mandatory Sinking Fund Payment” shall have the meaning assigned to it in Section 5.01(b).</w:t>
      </w:r>
    </w:p>
    <w:p>
      <w:pPr>
        <w:spacing w:after="0" w:line="126"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4"/>
          <w:szCs w:val="14"/>
          <w:color w:val="auto"/>
        </w:rPr>
        <w:t>6</w:t>
      </w:r>
    </w:p>
    <w:p>
      <w:pPr>
        <w:sectPr>
          <w:pgSz w:w="11900" w:h="16838" w:orient="portrait"/>
          <w:cols w:equalWidth="0" w:num="1">
            <w:col w:w="9019"/>
          </w:cols>
          <w:pgMar w:left="1440" w:top="240" w:right="1440" w:bottom="1440" w:gutter="0" w:footer="0" w:header="0"/>
        </w:sectPr>
      </w:pPr>
    </w:p>
    <w:bookmarkStart w:id="40" w:name="page41"/>
    <w:bookmarkEnd w:id="40"/>
    <w:p>
      <w:pPr>
        <w:ind w:left="160"/>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1">
                      <a:extLst>
                        <a:ext uri="{28A0092B-C50C-407E-A947-70E740481C1C}"/>
                      </a:extLst>
                    </a:blip>
                    <a:srcRect/>
                    <a:stretch>
                      <a:fillRect/>
                    </a:stretch>
                  </pic:blipFill>
                  <pic:spPr bwMode="auto">
                    <a:xfrm>
                      <a:off x="0" y="0"/>
                      <a:ext cx="7200265" cy="33020"/>
                    </a:xfrm>
                    <a:prstGeom prst="rect">
                      <a:avLst/>
                    </a:prstGeom>
                    <a:noFill/>
                  </pic:spPr>
                </pic:pic>
              </a:graphicData>
            </a:graphic>
          </wp:anchor>
        </w:drawing>
        <w:t>Maturity:</w:t>
      </w:r>
    </w:p>
    <w:p>
      <w:pPr>
        <w:spacing w:after="0" w:line="96" w:lineRule="exact"/>
        <w:rPr>
          <w:sz w:val="20"/>
          <w:szCs w:val="20"/>
          <w:color w:val="auto"/>
        </w:rPr>
      </w:pPr>
    </w:p>
    <w:p>
      <w:pPr>
        <w:ind w:left="160" w:right="379" w:firstLine="347"/>
        <w:spacing w:after="0" w:line="288" w:lineRule="auto"/>
        <w:rPr>
          <w:sz w:val="20"/>
          <w:szCs w:val="20"/>
          <w:color w:val="auto"/>
        </w:rPr>
      </w:pPr>
      <w:r>
        <w:rPr>
          <w:rFonts w:ascii="Times New Roman" w:cs="Times New Roman" w:eastAsia="Times New Roman" w:hAnsi="Times New Roman"/>
          <w:sz w:val="14"/>
          <w:szCs w:val="14"/>
          <w:color w:val="auto"/>
        </w:rPr>
        <w:t>The term “Maturity,” with respect to any Security, shall mean the date on which the principal of such Security shall become due and payable as therein and herein provided, whether by declaration, call for redemption or otherwise.</w:t>
      </w:r>
    </w:p>
    <w:p>
      <w:pPr>
        <w:spacing w:after="0" w:line="20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4"/>
          <w:szCs w:val="14"/>
          <w:b w:val="1"/>
          <w:bCs w:val="1"/>
          <w:color w:val="auto"/>
        </w:rPr>
        <w:t>Members:</w:t>
      </w:r>
    </w:p>
    <w:p>
      <w:pPr>
        <w:spacing w:after="0" w:line="9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The term “Members” shall have the meaning assigned to it in Section 3.03(i).</w:t>
      </w:r>
    </w:p>
    <w:p>
      <w:pPr>
        <w:spacing w:after="0" w:line="26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4"/>
          <w:szCs w:val="14"/>
          <w:b w:val="1"/>
          <w:bCs w:val="1"/>
          <w:color w:val="auto"/>
        </w:rPr>
        <w:t>Officer:</w:t>
      </w:r>
    </w:p>
    <w:p>
      <w:pPr>
        <w:spacing w:after="0" w:line="96" w:lineRule="exact"/>
        <w:rPr>
          <w:sz w:val="20"/>
          <w:szCs w:val="20"/>
          <w:color w:val="auto"/>
        </w:rPr>
      </w:pPr>
    </w:p>
    <w:p>
      <w:pPr>
        <w:ind w:left="160" w:right="339" w:firstLine="347"/>
        <w:spacing w:after="0" w:line="288" w:lineRule="auto"/>
        <w:rPr>
          <w:sz w:val="20"/>
          <w:szCs w:val="20"/>
          <w:color w:val="auto"/>
        </w:rPr>
      </w:pPr>
      <w:r>
        <w:rPr>
          <w:rFonts w:ascii="Times New Roman" w:cs="Times New Roman" w:eastAsia="Times New Roman" w:hAnsi="Times New Roman"/>
          <w:sz w:val="14"/>
          <w:szCs w:val="14"/>
          <w:color w:val="auto"/>
        </w:rPr>
        <w:t>The term “Officer” shall mean any of the chairman of the board, the chief executive officer, president, chief financial officer, any executive vice president or vice president, treasurer, controller or attorney-in-fact of the Company.</w:t>
      </w:r>
    </w:p>
    <w:p>
      <w:pPr>
        <w:spacing w:after="0" w:line="20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4"/>
          <w:szCs w:val="14"/>
          <w:b w:val="1"/>
          <w:bCs w:val="1"/>
          <w:color w:val="auto"/>
        </w:rPr>
        <w:t>Officer’s Cert</w:t>
      </w:r>
      <w:r>
        <w:rPr>
          <w:rFonts w:ascii="Times New Roman" w:cs="Times New Roman" w:eastAsia="Times New Roman" w:hAnsi="Times New Roman"/>
          <w:sz w:val="14"/>
          <w:szCs w:val="14"/>
          <w:color w:val="auto"/>
        </w:rPr>
        <w:t>i</w:t>
      </w:r>
      <w:r>
        <w:rPr>
          <w:rFonts w:ascii="Times New Roman" w:cs="Times New Roman" w:eastAsia="Times New Roman" w:hAnsi="Times New Roman"/>
          <w:sz w:val="14"/>
          <w:szCs w:val="14"/>
          <w:b w:val="1"/>
          <w:bCs w:val="1"/>
          <w:color w:val="auto"/>
        </w:rPr>
        <w:t>ficate:</w:t>
      </w:r>
    </w:p>
    <w:p>
      <w:pPr>
        <w:spacing w:after="0" w:line="96" w:lineRule="exact"/>
        <w:rPr>
          <w:sz w:val="20"/>
          <w:szCs w:val="20"/>
          <w:color w:val="auto"/>
        </w:rPr>
      </w:pPr>
    </w:p>
    <w:p>
      <w:pPr>
        <w:ind w:left="160" w:right="259" w:firstLine="347"/>
        <w:spacing w:after="0" w:line="288" w:lineRule="auto"/>
        <w:rPr>
          <w:sz w:val="20"/>
          <w:szCs w:val="20"/>
          <w:color w:val="auto"/>
        </w:rPr>
      </w:pPr>
      <w:r>
        <w:rPr>
          <w:rFonts w:ascii="Times New Roman" w:cs="Times New Roman" w:eastAsia="Times New Roman" w:hAnsi="Times New Roman"/>
          <w:sz w:val="14"/>
          <w:szCs w:val="14"/>
          <w:color w:val="auto"/>
        </w:rPr>
        <w:t>The term “Officer’s Certificate” shall mean a certificate signed by any Officer and delivered to the Trustee. Each such certificate shall include the statements provided for in Section 16.01 if and to the extent required by the provisions of such Section.</w:t>
      </w:r>
    </w:p>
    <w:p>
      <w:pPr>
        <w:spacing w:after="0" w:line="20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4"/>
          <w:szCs w:val="14"/>
          <w:b w:val="1"/>
          <w:bCs w:val="1"/>
          <w:color w:val="auto"/>
        </w:rPr>
        <w:t>Opinion of Counsel:</w:t>
      </w:r>
    </w:p>
    <w:p>
      <w:pPr>
        <w:spacing w:after="0" w:line="96" w:lineRule="exact"/>
        <w:rPr>
          <w:sz w:val="20"/>
          <w:szCs w:val="20"/>
          <w:color w:val="auto"/>
        </w:rPr>
      </w:pPr>
    </w:p>
    <w:p>
      <w:pPr>
        <w:ind w:left="160" w:right="299" w:firstLine="347"/>
        <w:spacing w:after="0" w:line="288" w:lineRule="auto"/>
        <w:rPr>
          <w:sz w:val="20"/>
          <w:szCs w:val="20"/>
          <w:color w:val="auto"/>
        </w:rPr>
      </w:pPr>
      <w:r>
        <w:rPr>
          <w:rFonts w:ascii="Times New Roman" w:cs="Times New Roman" w:eastAsia="Times New Roman" w:hAnsi="Times New Roman"/>
          <w:sz w:val="14"/>
          <w:szCs w:val="14"/>
          <w:color w:val="auto"/>
        </w:rPr>
        <w:t>The term “Opinion of Counsel” shall mean an opinion in writing signed by one or more legal counsel, who may be an employee of or of counsel to the Company, and meets the requirements provided for in Section 16.01.</w:t>
      </w:r>
    </w:p>
    <w:p>
      <w:pPr>
        <w:spacing w:after="0" w:line="20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4"/>
          <w:szCs w:val="14"/>
          <w:b w:val="1"/>
          <w:bCs w:val="1"/>
          <w:color w:val="auto"/>
        </w:rPr>
        <w:t>Optional Sinking Fund Payment:</w:t>
      </w:r>
    </w:p>
    <w:p>
      <w:pPr>
        <w:spacing w:after="0" w:line="9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The term “Optional Sinking Fund Payment” shall have the meaning assigned to it in Section 5.01(b).</w:t>
      </w:r>
    </w:p>
    <w:p>
      <w:pPr>
        <w:spacing w:after="0" w:line="26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4"/>
          <w:szCs w:val="14"/>
          <w:b w:val="1"/>
          <w:bCs w:val="1"/>
          <w:color w:val="auto"/>
        </w:rPr>
        <w:t>Original Issue Discount Security:</w:t>
      </w:r>
    </w:p>
    <w:p>
      <w:pPr>
        <w:spacing w:after="0" w:line="96" w:lineRule="exact"/>
        <w:rPr>
          <w:sz w:val="20"/>
          <w:szCs w:val="20"/>
          <w:color w:val="auto"/>
        </w:rPr>
      </w:pPr>
    </w:p>
    <w:p>
      <w:pPr>
        <w:ind w:left="160" w:right="419" w:firstLine="347"/>
        <w:spacing w:after="0" w:line="271" w:lineRule="auto"/>
        <w:rPr>
          <w:sz w:val="20"/>
          <w:szCs w:val="20"/>
          <w:color w:val="auto"/>
        </w:rPr>
      </w:pPr>
      <w:r>
        <w:rPr>
          <w:rFonts w:ascii="Times New Roman" w:cs="Times New Roman" w:eastAsia="Times New Roman" w:hAnsi="Times New Roman"/>
          <w:sz w:val="14"/>
          <w:szCs w:val="14"/>
          <w:color w:val="auto"/>
        </w:rPr>
        <w:t>The term “Original Issue Discount Security” shall mean any Security that is issued with “original issue discount” within the meaning of Section 1273(a) of the Code and the regulations thereunder, or any successor provision, and any other Security designated by the Company as issued with original issue discount for United States federal income tax purposes.</w:t>
      </w:r>
    </w:p>
    <w:p>
      <w:pPr>
        <w:spacing w:after="0" w:line="21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4"/>
          <w:szCs w:val="14"/>
          <w:b w:val="1"/>
          <w:bCs w:val="1"/>
          <w:color w:val="auto"/>
        </w:rPr>
        <w:t>Outstanding:</w:t>
      </w:r>
    </w:p>
    <w:p>
      <w:pPr>
        <w:spacing w:after="0" w:line="96" w:lineRule="exact"/>
        <w:rPr>
          <w:sz w:val="20"/>
          <w:szCs w:val="20"/>
          <w:color w:val="auto"/>
        </w:rPr>
      </w:pPr>
    </w:p>
    <w:p>
      <w:pPr>
        <w:ind w:left="160" w:right="299" w:firstLine="347"/>
        <w:spacing w:after="0" w:line="288" w:lineRule="auto"/>
        <w:rPr>
          <w:sz w:val="20"/>
          <w:szCs w:val="20"/>
          <w:color w:val="auto"/>
        </w:rPr>
      </w:pPr>
      <w:r>
        <w:rPr>
          <w:rFonts w:ascii="Times New Roman" w:cs="Times New Roman" w:eastAsia="Times New Roman" w:hAnsi="Times New Roman"/>
          <w:sz w:val="14"/>
          <w:szCs w:val="14"/>
          <w:color w:val="auto"/>
        </w:rPr>
        <w:t>The term “Outstanding,” when used with respect to Securities means, as of the date of determination, all Securities theretofore authenticated and delivered under this Indenture, except:</w:t>
      </w:r>
    </w:p>
    <w:p>
      <w:pPr>
        <w:spacing w:after="0" w:line="39" w:lineRule="exact"/>
        <w:rPr>
          <w:sz w:val="20"/>
          <w:szCs w:val="20"/>
          <w:color w:val="auto"/>
        </w:rPr>
      </w:pPr>
    </w:p>
    <w:p>
      <w:pPr>
        <w:ind w:left="4460" w:right="2799" w:hanging="3516"/>
        <w:spacing w:after="0" w:line="463" w:lineRule="auto"/>
        <w:tabs>
          <w:tab w:leader="none" w:pos="1129"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Securities theretofore canceled by the Trustee or delivered to the Trustee for cancellation; 7</w:t>
      </w:r>
    </w:p>
    <w:p>
      <w:pPr>
        <w:sectPr>
          <w:pgSz w:w="11900" w:h="16838" w:orient="portrait"/>
          <w:cols w:equalWidth="0" w:num="1">
            <w:col w:w="9019"/>
          </w:cols>
          <w:pgMar w:left="1440" w:top="240" w:right="1440" w:bottom="1440" w:gutter="0" w:footer="0" w:header="0"/>
        </w:sectPr>
      </w:pPr>
    </w:p>
    <w:bookmarkStart w:id="41" w:name="page42"/>
    <w:bookmarkEnd w:id="41"/>
    <w:p>
      <w:pPr>
        <w:ind w:left="160" w:right="199" w:firstLine="784"/>
        <w:spacing w:after="0" w:line="262" w:lineRule="auto"/>
        <w:tabs>
          <w:tab w:leader="none" w:pos="1142"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2">
                      <a:extLst>
                        <a:ext uri="{28A0092B-C50C-407E-A947-70E740481C1C}"/>
                      </a:extLst>
                    </a:blip>
                    <a:srcRect/>
                    <a:stretch>
                      <a:fillRect/>
                    </a:stretch>
                  </pic:blipFill>
                  <pic:spPr bwMode="auto">
                    <a:xfrm>
                      <a:off x="0" y="0"/>
                      <a:ext cx="7200265" cy="33020"/>
                    </a:xfrm>
                    <a:prstGeom prst="rect">
                      <a:avLst/>
                    </a:prstGeom>
                    <a:noFill/>
                  </pic:spPr>
                </pic:pic>
              </a:graphicData>
            </a:graphic>
          </wp:anchor>
        </w:drawing>
        <w:t>Securities or portions thereof for which payment or redemption money in the necessary amount has been theretofore deposited with the Trustee or any Paying Agent (other than the Company) in trust or set aside and segregated in trust by the Company (if the Company shall act as its own Paying Agent) for the Holders of such Securities or Securities as to which the Company’s obligations have been Discharged; provided, however, that if such Securities or portions thereof are to be redeemed, notice of such redemption has been duly given pursuant to this Indenture or provision therefor satisfactory to the Trustee has been made; and</w:t>
      </w:r>
    </w:p>
    <w:p>
      <w:pPr>
        <w:spacing w:after="0" w:line="142" w:lineRule="exact"/>
        <w:rPr>
          <w:rFonts w:ascii="Times New Roman" w:cs="Times New Roman" w:eastAsia="Times New Roman" w:hAnsi="Times New Roman"/>
          <w:sz w:val="14"/>
          <w:szCs w:val="14"/>
          <w:color w:val="auto"/>
        </w:rPr>
      </w:pPr>
    </w:p>
    <w:p>
      <w:pPr>
        <w:ind w:left="160" w:right="239" w:firstLine="784"/>
        <w:spacing w:after="0" w:line="265" w:lineRule="auto"/>
        <w:tabs>
          <w:tab w:leader="none" w:pos="1134"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Securities that have been paid pursuant to Section 3.07(b) or in exchange for or in lieu of which other Securities have been authenticated and delivered pursuant to this Indenture, other than any such Securities in respect of which there shall have been presented to a Responsible Officer of the Trustee proof satisfactory to it that such Securities are held by a protected purchaser in whose hands such Securities are valid obligations of the Company;</w:t>
      </w:r>
    </w:p>
    <w:p>
      <w:pPr>
        <w:spacing w:after="0" w:line="138" w:lineRule="exact"/>
        <w:rPr>
          <w:sz w:val="20"/>
          <w:szCs w:val="20"/>
          <w:color w:val="auto"/>
        </w:rPr>
      </w:pPr>
    </w:p>
    <w:p>
      <w:pPr>
        <w:jc w:val="both"/>
        <w:ind w:left="160" w:right="279"/>
        <w:spacing w:after="0" w:line="259" w:lineRule="auto"/>
        <w:rPr>
          <w:sz w:val="20"/>
          <w:szCs w:val="20"/>
          <w:color w:val="auto"/>
        </w:rPr>
      </w:pP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however, that in determining whether the Holders of the requisite principal amount of Securities of a series Outstanding have performed any</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action hereunder, Securities owned by the Company or any other obligor upon the Securities of such series or any Affiliate of the Company or of such other obligor shall be disregarded and deemed not to be Outstanding, except that, in determining whether the Trustee shall be protected in relying upon any such action, only Securities of such series that a Responsible Officer of the Trustee actually knows to be so owned shall be so disregarded.</w:t>
      </w:r>
    </w:p>
    <w:p>
      <w:pPr>
        <w:spacing w:after="0" w:line="2" w:lineRule="exact"/>
        <w:rPr>
          <w:sz w:val="20"/>
          <w:szCs w:val="20"/>
          <w:color w:val="auto"/>
        </w:rPr>
      </w:pPr>
    </w:p>
    <w:p>
      <w:pPr>
        <w:ind w:left="160" w:right="199"/>
        <w:spacing w:after="0" w:line="256" w:lineRule="auto"/>
        <w:rPr>
          <w:sz w:val="20"/>
          <w:szCs w:val="20"/>
          <w:color w:val="auto"/>
        </w:rPr>
      </w:pPr>
      <w:r>
        <w:rPr>
          <w:rFonts w:ascii="Times New Roman" w:cs="Times New Roman" w:eastAsia="Times New Roman" w:hAnsi="Times New Roman"/>
          <w:sz w:val="14"/>
          <w:szCs w:val="14"/>
          <w:color w:val="auto"/>
        </w:rPr>
        <w:t>Securities so owned that have been pledged in good faith may be regarded as Outstanding if the pledgee establishes to the satisfaction of the Trustee the pledgee’s right to act with respect to such Securities and that the pledgee is not the Company or any other obligor upon such Securities or any Affiliate of the Company or of such other obligor. In determining whether the Holders of the requisite principal amount of Outstanding Securities of a series have performed any action hereunder, the principal amount of an Original Issue Discount Security that shall be deemed to be Outstanding for such purpose shall be the amount of the principal thereof that would be due and payable as of the date of such determination upon a declaration of acceleration of the Maturity thereof pursuant to Section 7.02 and the principal amount of a Security denominated in a Foreign Currency that shall be deemed to be Outstanding for such purpose shall be the amount calculated pursuant to Section 3.11(b).</w:t>
      </w:r>
    </w:p>
    <w:p>
      <w:pPr>
        <w:spacing w:after="0" w:line="22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4"/>
          <w:szCs w:val="14"/>
          <w:b w:val="1"/>
          <w:bCs w:val="1"/>
          <w:color w:val="auto"/>
        </w:rPr>
        <w:t>Paying Agent:</w:t>
      </w:r>
    </w:p>
    <w:p>
      <w:pPr>
        <w:spacing w:after="0" w:line="9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The term “Paying Agent” shall have the meaning assigned to it in Section 6.02(a).</w:t>
      </w:r>
    </w:p>
    <w:p>
      <w:pPr>
        <w:spacing w:after="0" w:line="26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4"/>
          <w:szCs w:val="14"/>
          <w:b w:val="1"/>
          <w:bCs w:val="1"/>
          <w:color w:val="auto"/>
        </w:rPr>
        <w:t>Person:</w:t>
      </w:r>
    </w:p>
    <w:p>
      <w:pPr>
        <w:spacing w:after="0" w:line="96" w:lineRule="exact"/>
        <w:rPr>
          <w:sz w:val="20"/>
          <w:szCs w:val="20"/>
          <w:color w:val="auto"/>
        </w:rPr>
      </w:pPr>
    </w:p>
    <w:p>
      <w:pPr>
        <w:ind w:left="160" w:right="419" w:firstLine="347"/>
        <w:spacing w:after="0" w:line="288" w:lineRule="auto"/>
        <w:rPr>
          <w:sz w:val="20"/>
          <w:szCs w:val="20"/>
          <w:color w:val="auto"/>
        </w:rPr>
      </w:pPr>
      <w:r>
        <w:rPr>
          <w:rFonts w:ascii="Times New Roman" w:cs="Times New Roman" w:eastAsia="Times New Roman" w:hAnsi="Times New Roman"/>
          <w:sz w:val="14"/>
          <w:szCs w:val="14"/>
          <w:color w:val="auto"/>
        </w:rPr>
        <w:t>The term “Person” shall mean any individual, a corporation, a limited liability company, a partnership, an association, a joint stock company, a trust, an unincorporated organization or a government or an agency or political subdivision thereof or other entity.</w:t>
      </w:r>
    </w:p>
    <w:p>
      <w:pPr>
        <w:spacing w:after="0" w:line="20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4"/>
          <w:szCs w:val="14"/>
          <w:b w:val="1"/>
          <w:bCs w:val="1"/>
          <w:color w:val="auto"/>
        </w:rPr>
        <w:t>Place of Payment:</w:t>
      </w:r>
    </w:p>
    <w:p>
      <w:pPr>
        <w:spacing w:after="0" w:line="96" w:lineRule="exact"/>
        <w:rPr>
          <w:sz w:val="20"/>
          <w:szCs w:val="20"/>
          <w:color w:val="auto"/>
        </w:rPr>
      </w:pPr>
    </w:p>
    <w:p>
      <w:pPr>
        <w:ind w:left="160" w:right="439" w:firstLine="347"/>
        <w:spacing w:after="0" w:line="288" w:lineRule="auto"/>
        <w:rPr>
          <w:sz w:val="20"/>
          <w:szCs w:val="20"/>
          <w:color w:val="auto"/>
        </w:rPr>
      </w:pPr>
      <w:r>
        <w:rPr>
          <w:rFonts w:ascii="Times New Roman" w:cs="Times New Roman" w:eastAsia="Times New Roman" w:hAnsi="Times New Roman"/>
          <w:sz w:val="14"/>
          <w:szCs w:val="14"/>
          <w:color w:val="auto"/>
        </w:rPr>
        <w:t>The term “Place of Payment” shall mean, when used with respect to the Securities of any series, the place or places where the principal of and premium, if any, and interest on the Securities of that series are payable as specified pursuant to Section 3.01.</w:t>
      </w:r>
    </w:p>
    <w:p>
      <w:pPr>
        <w:spacing w:after="0" w:line="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8</w:t>
      </w:r>
    </w:p>
    <w:p>
      <w:pPr>
        <w:sectPr>
          <w:pgSz w:w="11900" w:h="16838" w:orient="portrait"/>
          <w:cols w:equalWidth="0" w:num="1">
            <w:col w:w="9019"/>
          </w:cols>
          <w:pgMar w:left="1440" w:top="242" w:right="1440" w:bottom="1440" w:gutter="0" w:footer="0" w:header="0"/>
        </w:sectPr>
      </w:pPr>
    </w:p>
    <w:bookmarkStart w:id="42" w:name="page43"/>
    <w:bookmarkEnd w:id="42"/>
    <w:p>
      <w:pPr>
        <w:ind w:left="160"/>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3">
                      <a:extLst>
                        <a:ext uri="{28A0092B-C50C-407E-A947-70E740481C1C}"/>
                      </a:extLst>
                    </a:blip>
                    <a:srcRect/>
                    <a:stretch>
                      <a:fillRect/>
                    </a:stretch>
                  </pic:blipFill>
                  <pic:spPr bwMode="auto">
                    <a:xfrm>
                      <a:off x="0" y="0"/>
                      <a:ext cx="7200265" cy="33020"/>
                    </a:xfrm>
                    <a:prstGeom prst="rect">
                      <a:avLst/>
                    </a:prstGeom>
                    <a:noFill/>
                  </pic:spPr>
                </pic:pic>
              </a:graphicData>
            </a:graphic>
          </wp:anchor>
        </w:drawing>
        <w:t>Predecessor Security:</w:t>
      </w:r>
    </w:p>
    <w:p>
      <w:pPr>
        <w:spacing w:after="0" w:line="96" w:lineRule="exact"/>
        <w:rPr>
          <w:sz w:val="20"/>
          <w:szCs w:val="20"/>
          <w:color w:val="auto"/>
        </w:rPr>
      </w:pPr>
    </w:p>
    <w:p>
      <w:pPr>
        <w:ind w:left="160" w:right="379" w:firstLine="347"/>
        <w:spacing w:after="0" w:line="271" w:lineRule="auto"/>
        <w:rPr>
          <w:sz w:val="20"/>
          <w:szCs w:val="20"/>
          <w:color w:val="auto"/>
        </w:rPr>
      </w:pPr>
      <w:r>
        <w:rPr>
          <w:rFonts w:ascii="Times New Roman" w:cs="Times New Roman" w:eastAsia="Times New Roman" w:hAnsi="Times New Roman"/>
          <w:sz w:val="14"/>
          <w:szCs w:val="14"/>
          <w:color w:val="auto"/>
        </w:rPr>
        <w:t>The term “Predecessor Security” shall mean, with respect to any Security, every previous Security evidencing all or a portion of the same Indebtedness as that evidenced by such particular Security, and, for the purposes of this definition, any Security authenticated and delivered under Section 3.07 in lieu of a lost, destroyed or stolen Security shall be deemed to evidence the same Indebtedness as the lost, destroyed or stolen Security.</w:t>
      </w:r>
    </w:p>
    <w:p>
      <w:pPr>
        <w:spacing w:after="0" w:line="21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4"/>
          <w:szCs w:val="14"/>
          <w:b w:val="1"/>
          <w:bCs w:val="1"/>
          <w:color w:val="auto"/>
        </w:rPr>
        <w:t>Record Date:</w:t>
      </w:r>
    </w:p>
    <w:p>
      <w:pPr>
        <w:spacing w:after="0" w:line="96" w:lineRule="exact"/>
        <w:rPr>
          <w:sz w:val="20"/>
          <w:szCs w:val="20"/>
          <w:color w:val="auto"/>
        </w:rPr>
      </w:pPr>
    </w:p>
    <w:p>
      <w:pPr>
        <w:ind w:left="160" w:right="219" w:firstLine="347"/>
        <w:spacing w:after="0" w:line="288" w:lineRule="auto"/>
        <w:rPr>
          <w:sz w:val="20"/>
          <w:szCs w:val="20"/>
          <w:color w:val="auto"/>
        </w:rPr>
      </w:pPr>
      <w:r>
        <w:rPr>
          <w:rFonts w:ascii="Times New Roman" w:cs="Times New Roman" w:eastAsia="Times New Roman" w:hAnsi="Times New Roman"/>
          <w:sz w:val="14"/>
          <w:szCs w:val="14"/>
          <w:color w:val="auto"/>
        </w:rPr>
        <w:t>The term “Record Date” shall mean, with respect to any interest payable on any Security on any Interest Payment Date, any date specified in such Security or pursuant to Section 3.01 with respect to such Security as the record date for the payment of interest.</w:t>
      </w:r>
    </w:p>
    <w:p>
      <w:pPr>
        <w:spacing w:after="0" w:line="20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4"/>
          <w:szCs w:val="14"/>
          <w:b w:val="1"/>
          <w:bCs w:val="1"/>
          <w:color w:val="auto"/>
        </w:rPr>
        <w:t>Redemption Date:</w:t>
      </w:r>
    </w:p>
    <w:p>
      <w:pPr>
        <w:spacing w:after="0" w:line="96" w:lineRule="exact"/>
        <w:rPr>
          <w:sz w:val="20"/>
          <w:szCs w:val="20"/>
          <w:color w:val="auto"/>
        </w:rPr>
      </w:pPr>
    </w:p>
    <w:p>
      <w:pPr>
        <w:ind w:left="160" w:right="439" w:firstLine="347"/>
        <w:spacing w:after="0" w:line="271" w:lineRule="auto"/>
        <w:rPr>
          <w:sz w:val="20"/>
          <w:szCs w:val="20"/>
          <w:color w:val="auto"/>
        </w:rPr>
      </w:pPr>
      <w:r>
        <w:rPr>
          <w:rFonts w:ascii="Times New Roman" w:cs="Times New Roman" w:eastAsia="Times New Roman" w:hAnsi="Times New Roman"/>
          <w:sz w:val="14"/>
          <w:szCs w:val="14"/>
          <w:color w:val="auto"/>
        </w:rPr>
        <w:t>The term “Redemption Date” shall mean, when used with respect to any Security to be redeemed, in whole or in part, the date fixed for such redemption by or pursuant to this Indenture and the terms of such Security, which, in the case of a Floating Rate Security, unless otherwise specified pursuant to Section 3.01, shall be an Interest Payment Date only.</w:t>
      </w:r>
    </w:p>
    <w:p>
      <w:pPr>
        <w:spacing w:after="0" w:line="21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4"/>
          <w:szCs w:val="14"/>
          <w:b w:val="1"/>
          <w:bCs w:val="1"/>
          <w:color w:val="auto"/>
        </w:rPr>
        <w:t>Redemption Price:</w:t>
      </w:r>
    </w:p>
    <w:p>
      <w:pPr>
        <w:spacing w:after="0" w:line="96" w:lineRule="exact"/>
        <w:rPr>
          <w:sz w:val="20"/>
          <w:szCs w:val="20"/>
          <w:color w:val="auto"/>
        </w:rPr>
      </w:pPr>
    </w:p>
    <w:p>
      <w:pPr>
        <w:ind w:left="160" w:right="219" w:firstLine="347"/>
        <w:spacing w:after="0" w:line="288" w:lineRule="auto"/>
        <w:rPr>
          <w:sz w:val="20"/>
          <w:szCs w:val="20"/>
          <w:color w:val="auto"/>
        </w:rPr>
      </w:pPr>
      <w:r>
        <w:rPr>
          <w:rFonts w:ascii="Times New Roman" w:cs="Times New Roman" w:eastAsia="Times New Roman" w:hAnsi="Times New Roman"/>
          <w:sz w:val="14"/>
          <w:szCs w:val="14"/>
          <w:color w:val="auto"/>
        </w:rPr>
        <w:t>The term “Redemption Price,” when used with respect to any Security to be redeemed, in whole or in part, shall mean the price at which it is to be redeemed pursuant to the terms of the applicable Security and this Indenture.</w:t>
      </w:r>
    </w:p>
    <w:p>
      <w:pPr>
        <w:spacing w:after="0" w:line="20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4"/>
          <w:szCs w:val="14"/>
          <w:b w:val="1"/>
          <w:bCs w:val="1"/>
          <w:color w:val="auto"/>
        </w:rPr>
        <w:t>Register:</w:t>
      </w:r>
    </w:p>
    <w:p>
      <w:pPr>
        <w:spacing w:after="0" w:line="9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The term “Register” shall have the meaning assigned to it in Section 3.05(a).</w:t>
      </w:r>
    </w:p>
    <w:p>
      <w:pPr>
        <w:spacing w:after="0" w:line="26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4"/>
          <w:szCs w:val="14"/>
          <w:b w:val="1"/>
          <w:bCs w:val="1"/>
          <w:color w:val="auto"/>
        </w:rPr>
        <w:t>Registrar:</w:t>
      </w:r>
    </w:p>
    <w:p>
      <w:pPr>
        <w:spacing w:after="0" w:line="9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The term “Registrar” shall have the meaning assigned to it in Section 3.05(a).</w:t>
      </w:r>
    </w:p>
    <w:p>
      <w:pPr>
        <w:spacing w:after="0" w:line="26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4"/>
          <w:szCs w:val="14"/>
          <w:b w:val="1"/>
          <w:bCs w:val="1"/>
          <w:color w:val="auto"/>
        </w:rPr>
        <w:t>Responsible Officers:</w:t>
      </w:r>
    </w:p>
    <w:p>
      <w:pPr>
        <w:spacing w:after="0" w:line="96" w:lineRule="exact"/>
        <w:rPr>
          <w:sz w:val="20"/>
          <w:szCs w:val="20"/>
          <w:color w:val="auto"/>
        </w:rPr>
      </w:pPr>
    </w:p>
    <w:p>
      <w:pPr>
        <w:ind w:left="160" w:right="179" w:firstLine="347"/>
        <w:spacing w:after="0" w:line="262" w:lineRule="auto"/>
        <w:rPr>
          <w:sz w:val="20"/>
          <w:szCs w:val="20"/>
          <w:color w:val="auto"/>
        </w:rPr>
      </w:pPr>
      <w:r>
        <w:rPr>
          <w:rFonts w:ascii="Times New Roman" w:cs="Times New Roman" w:eastAsia="Times New Roman" w:hAnsi="Times New Roman"/>
          <w:sz w:val="14"/>
          <w:szCs w:val="14"/>
          <w:color w:val="auto"/>
        </w:rPr>
        <w:t>The term “Responsible Officers” of the Trustee hereunder shall mean any vice president, any assistant vice president or any trust officer associated with the corporate trust department of the Trustee customarily performing functions similar to those performed by any of the above designated officers, and also means, with respect to a particular corporate trust matter relating to this Indenture, any other officer of the Trustee to whom such matter is referred because of such person’s knowledge of and familiarity with the particular subject and who, in each case, shall have direct responsibility for the administration of this Indenture.</w:t>
      </w:r>
    </w:p>
    <w:p>
      <w:pPr>
        <w:spacing w:after="0" w:line="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9</w:t>
      </w:r>
    </w:p>
    <w:p>
      <w:pPr>
        <w:sectPr>
          <w:pgSz w:w="11900" w:h="16838" w:orient="portrait"/>
          <w:cols w:equalWidth="0" w:num="1">
            <w:col w:w="9019"/>
          </w:cols>
          <w:pgMar w:left="1440" w:top="240" w:right="1440" w:bottom="1440" w:gutter="0" w:footer="0" w:header="0"/>
        </w:sectPr>
      </w:pPr>
    </w:p>
    <w:bookmarkStart w:id="43" w:name="page44"/>
    <w:bookmarkEnd w:id="43"/>
    <w:p>
      <w:pPr>
        <w:ind w:left="160"/>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4">
                      <a:extLst>
                        <a:ext uri="{28A0092B-C50C-407E-A947-70E740481C1C}"/>
                      </a:extLst>
                    </a:blip>
                    <a:srcRect/>
                    <a:stretch>
                      <a:fillRect/>
                    </a:stretch>
                  </pic:blipFill>
                  <pic:spPr bwMode="auto">
                    <a:xfrm>
                      <a:off x="0" y="0"/>
                      <a:ext cx="7200265" cy="33020"/>
                    </a:xfrm>
                    <a:prstGeom prst="rect">
                      <a:avLst/>
                    </a:prstGeom>
                    <a:noFill/>
                  </pic:spPr>
                </pic:pic>
              </a:graphicData>
            </a:graphic>
          </wp:anchor>
        </w:drawing>
        <w:t>SEC:</w:t>
      </w:r>
    </w:p>
    <w:p>
      <w:pPr>
        <w:spacing w:after="0" w:line="9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The term “SEC” shall mean the United States Securities and Exchange Commission, as constituted from time to time.</w:t>
      </w:r>
    </w:p>
    <w:p>
      <w:pPr>
        <w:spacing w:after="0" w:line="26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4"/>
          <w:szCs w:val="14"/>
          <w:b w:val="1"/>
          <w:bCs w:val="1"/>
          <w:color w:val="auto"/>
        </w:rPr>
        <w:t>Security:</w:t>
      </w:r>
    </w:p>
    <w:p>
      <w:pPr>
        <w:spacing w:after="0" w:line="96" w:lineRule="exact"/>
        <w:rPr>
          <w:sz w:val="20"/>
          <w:szCs w:val="20"/>
          <w:color w:val="auto"/>
        </w:rPr>
      </w:pPr>
    </w:p>
    <w:p>
      <w:pPr>
        <w:ind w:left="160" w:right="399" w:firstLine="347"/>
        <w:spacing w:after="0" w:line="288" w:lineRule="auto"/>
        <w:rPr>
          <w:sz w:val="20"/>
          <w:szCs w:val="20"/>
          <w:color w:val="auto"/>
        </w:rPr>
      </w:pPr>
      <w:r>
        <w:rPr>
          <w:rFonts w:ascii="Times New Roman" w:cs="Times New Roman" w:eastAsia="Times New Roman" w:hAnsi="Times New Roman"/>
          <w:sz w:val="14"/>
          <w:szCs w:val="14"/>
          <w:color w:val="auto"/>
        </w:rPr>
        <w:t>The term “Security” or “Securities” shall have the meaning stated in the recitals and shall more particularly mean one or more of the Securities duly authenticated by the Trustee and delivered pursuant to the provisions of this Indenture.</w:t>
      </w:r>
    </w:p>
    <w:p>
      <w:pPr>
        <w:spacing w:after="0" w:line="20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4"/>
          <w:szCs w:val="14"/>
          <w:b w:val="1"/>
          <w:bCs w:val="1"/>
          <w:color w:val="auto"/>
        </w:rPr>
        <w:t>Security Custodian:</w:t>
      </w:r>
    </w:p>
    <w:p>
      <w:pPr>
        <w:spacing w:after="0" w:line="96" w:lineRule="exact"/>
        <w:rPr>
          <w:sz w:val="20"/>
          <w:szCs w:val="20"/>
          <w:color w:val="auto"/>
        </w:rPr>
      </w:pPr>
    </w:p>
    <w:p>
      <w:pPr>
        <w:ind w:left="160" w:right="219" w:firstLine="347"/>
        <w:spacing w:after="0" w:line="288" w:lineRule="auto"/>
        <w:rPr>
          <w:sz w:val="20"/>
          <w:szCs w:val="20"/>
          <w:color w:val="auto"/>
        </w:rPr>
      </w:pPr>
      <w:r>
        <w:rPr>
          <w:rFonts w:ascii="Times New Roman" w:cs="Times New Roman" w:eastAsia="Times New Roman" w:hAnsi="Times New Roman"/>
          <w:sz w:val="14"/>
          <w:szCs w:val="14"/>
          <w:color w:val="auto"/>
        </w:rPr>
        <w:t>The term “Security Custodian” shall mean the custodian with respect to any Global Security appointed by the Depositary, or any successor Person thereto, and shall initially be the Trustee.</w:t>
      </w:r>
    </w:p>
    <w:p>
      <w:pPr>
        <w:spacing w:after="0" w:line="20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4"/>
          <w:szCs w:val="14"/>
          <w:b w:val="1"/>
          <w:bCs w:val="1"/>
          <w:color w:val="auto"/>
        </w:rPr>
        <w:t>Securityholder; Holder of Securities; Holder:</w:t>
      </w:r>
    </w:p>
    <w:p>
      <w:pPr>
        <w:spacing w:after="0" w:line="96" w:lineRule="exact"/>
        <w:rPr>
          <w:sz w:val="20"/>
          <w:szCs w:val="20"/>
          <w:color w:val="auto"/>
        </w:rPr>
      </w:pPr>
    </w:p>
    <w:p>
      <w:pPr>
        <w:ind w:left="160" w:right="619" w:firstLine="347"/>
        <w:spacing w:after="0" w:line="288" w:lineRule="auto"/>
        <w:rPr>
          <w:sz w:val="20"/>
          <w:szCs w:val="20"/>
          <w:color w:val="auto"/>
        </w:rPr>
      </w:pPr>
      <w:r>
        <w:rPr>
          <w:rFonts w:ascii="Times New Roman" w:cs="Times New Roman" w:eastAsia="Times New Roman" w:hAnsi="Times New Roman"/>
          <w:sz w:val="14"/>
          <w:szCs w:val="14"/>
          <w:color w:val="auto"/>
        </w:rPr>
        <w:t>The term “Securityholder” or “Holder of Securities” or “Holder,” shall mean the Person in whose name Securities shall be registered in the Register kept for that purpose hereunder.</w:t>
      </w:r>
    </w:p>
    <w:p>
      <w:pPr>
        <w:spacing w:after="0" w:line="20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4"/>
          <w:szCs w:val="14"/>
          <w:b w:val="1"/>
          <w:bCs w:val="1"/>
          <w:color w:val="auto"/>
        </w:rPr>
        <w:t>Senior Indebtedness:</w:t>
      </w:r>
    </w:p>
    <w:p>
      <w:pPr>
        <w:spacing w:after="0" w:line="96" w:lineRule="exact"/>
        <w:rPr>
          <w:sz w:val="20"/>
          <w:szCs w:val="20"/>
          <w:color w:val="auto"/>
        </w:rPr>
      </w:pPr>
    </w:p>
    <w:p>
      <w:pPr>
        <w:ind w:left="160" w:right="239" w:firstLine="347"/>
        <w:spacing w:after="0" w:line="259" w:lineRule="auto"/>
        <w:rPr>
          <w:sz w:val="20"/>
          <w:szCs w:val="20"/>
          <w:color w:val="auto"/>
        </w:rPr>
      </w:pPr>
      <w:r>
        <w:rPr>
          <w:rFonts w:ascii="Times New Roman" w:cs="Times New Roman" w:eastAsia="Times New Roman" w:hAnsi="Times New Roman"/>
          <w:sz w:val="14"/>
          <w:szCs w:val="14"/>
          <w:color w:val="auto"/>
        </w:rPr>
        <w:t>The term “Senior Indebtedness” means the principal of (and premium, if any) and unpaid interest on (x) Indebtedness of the Company, whether outstanding on the date hereof or thereafter created, incurred, assumed or guaranteed, for money borrowed other than (a) any Indebtedness of the Company which when incurred, and without respect to any election under Section 1111(b) of the Federal Bankruptcy Code, was without recourse to the Company, (b) any Indebtedness of the Company to any of its Subsidiaries, (c) Indebtedness to any employee of the Company, (d) any liability for taxes,</w:t>
      </w:r>
    </w:p>
    <w:p>
      <w:pPr>
        <w:ind w:left="160" w:right="479" w:firstLine="3"/>
        <w:spacing w:after="0" w:line="253" w:lineRule="auto"/>
        <w:tabs>
          <w:tab w:leader="none" w:pos="35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Trade Payables and (f) any Indebtedness of the Company which is expressly subordinate in right of payment to any other Indebtedness of the Company, and (y) renewals, extensions, modifications and refundings of any such Indebtedness. For purposes of the foregoing and the definition of “Senior Indebtedness,” the phrase “subordinated in right of payment” means debt subordination only and not lien subordination, and accordingly,</w:t>
      </w:r>
    </w:p>
    <w:p>
      <w:pPr>
        <w:spacing w:after="0" w:line="1" w:lineRule="exact"/>
        <w:rPr>
          <w:rFonts w:ascii="Times New Roman" w:cs="Times New Roman" w:eastAsia="Times New Roman" w:hAnsi="Times New Roman"/>
          <w:sz w:val="14"/>
          <w:szCs w:val="14"/>
          <w:color w:val="auto"/>
        </w:rPr>
      </w:pPr>
    </w:p>
    <w:p>
      <w:pPr>
        <w:ind w:left="160" w:right="219" w:firstLine="3"/>
        <w:spacing w:after="0" w:line="258" w:lineRule="auto"/>
        <w:tabs>
          <w:tab w:leader="none" w:pos="329"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unsecured indebtedness shall not be deemed to be subordinated in right of payment to secured indebtedness merely by virtue of the fact that it is unsecured, and (ii) junior liens, second liens and other contractual arrangements that provide for priorities among Holders of the same or different issues of indebtedness with respect to any collateral or the proceeds of collateral shall not constitute subordination in right of payment. This definition may be modified or superseded by a supplemental indenture.</w:t>
      </w:r>
    </w:p>
    <w:p>
      <w:pPr>
        <w:spacing w:after="0" w:line="22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4"/>
          <w:szCs w:val="14"/>
          <w:b w:val="1"/>
          <w:bCs w:val="1"/>
          <w:color w:val="auto"/>
        </w:rPr>
        <w:t>Special Record Date:</w:t>
      </w:r>
    </w:p>
    <w:p>
      <w:pPr>
        <w:spacing w:after="0" w:line="9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The term “Special Record Date” shall have the meaning assigned to it in Section 3.08(b)(i).</w:t>
      </w:r>
    </w:p>
    <w:p>
      <w:pPr>
        <w:spacing w:after="0" w:line="126"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4"/>
          <w:szCs w:val="14"/>
          <w:color w:val="auto"/>
        </w:rPr>
        <w:t>10</w:t>
      </w:r>
    </w:p>
    <w:p>
      <w:pPr>
        <w:sectPr>
          <w:pgSz w:w="11900" w:h="16838" w:orient="portrait"/>
          <w:cols w:equalWidth="0" w:num="1">
            <w:col w:w="9019"/>
          </w:cols>
          <w:pgMar w:left="1440" w:top="240" w:right="1440" w:bottom="1440" w:gutter="0" w:footer="0" w:header="0"/>
        </w:sectPr>
      </w:pPr>
    </w:p>
    <w:bookmarkStart w:id="44" w:name="page45"/>
    <w:bookmarkEnd w:id="44"/>
    <w:p>
      <w:pPr>
        <w:ind w:left="160"/>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5">
                      <a:extLst>
                        <a:ext uri="{28A0092B-C50C-407E-A947-70E740481C1C}"/>
                      </a:extLst>
                    </a:blip>
                    <a:srcRect/>
                    <a:stretch>
                      <a:fillRect/>
                    </a:stretch>
                  </pic:blipFill>
                  <pic:spPr bwMode="auto">
                    <a:xfrm>
                      <a:off x="0" y="0"/>
                      <a:ext cx="7200265" cy="33020"/>
                    </a:xfrm>
                    <a:prstGeom prst="rect">
                      <a:avLst/>
                    </a:prstGeom>
                    <a:noFill/>
                  </pic:spPr>
                </pic:pic>
              </a:graphicData>
            </a:graphic>
          </wp:anchor>
        </w:drawing>
        <w:t>Stated Maturity:</w:t>
      </w:r>
    </w:p>
    <w:p>
      <w:pPr>
        <w:spacing w:after="0" w:line="96" w:lineRule="exact"/>
        <w:rPr>
          <w:sz w:val="20"/>
          <w:szCs w:val="20"/>
          <w:color w:val="auto"/>
        </w:rPr>
      </w:pPr>
    </w:p>
    <w:p>
      <w:pPr>
        <w:ind w:left="160" w:right="219" w:firstLine="347"/>
        <w:spacing w:after="0" w:line="271" w:lineRule="auto"/>
        <w:rPr>
          <w:sz w:val="20"/>
          <w:szCs w:val="20"/>
          <w:color w:val="auto"/>
        </w:rPr>
      </w:pPr>
      <w:r>
        <w:rPr>
          <w:rFonts w:ascii="Times New Roman" w:cs="Times New Roman" w:eastAsia="Times New Roman" w:hAnsi="Times New Roman"/>
          <w:sz w:val="14"/>
          <w:szCs w:val="14"/>
          <w:color w:val="auto"/>
        </w:rPr>
        <w:t>The term “Stated Maturity” when used with respect to any Security or any installment of interest thereon, shall mean the date specified in such Security or pursuant to Section 3.01 with respect to such Security as the fixed date on which the principal (or any portion thereof) of or premium, if any, on such Security or such installment of interest is due and payable.</w:t>
      </w:r>
    </w:p>
    <w:p>
      <w:pPr>
        <w:spacing w:after="0" w:line="21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4"/>
          <w:szCs w:val="14"/>
          <w:b w:val="1"/>
          <w:bCs w:val="1"/>
          <w:color w:val="auto"/>
        </w:rPr>
        <w:t>Subsidiary:</w:t>
      </w:r>
    </w:p>
    <w:p>
      <w:pPr>
        <w:spacing w:after="0" w:line="96" w:lineRule="exact"/>
        <w:rPr>
          <w:sz w:val="20"/>
          <w:szCs w:val="20"/>
          <w:color w:val="auto"/>
        </w:rPr>
      </w:pPr>
    </w:p>
    <w:p>
      <w:pPr>
        <w:ind w:left="160" w:right="179" w:firstLine="347"/>
        <w:spacing w:after="0" w:line="265" w:lineRule="auto"/>
        <w:rPr>
          <w:sz w:val="20"/>
          <w:szCs w:val="20"/>
          <w:color w:val="auto"/>
        </w:rPr>
      </w:pPr>
      <w:r>
        <w:rPr>
          <w:rFonts w:ascii="Times New Roman" w:cs="Times New Roman" w:eastAsia="Times New Roman" w:hAnsi="Times New Roman"/>
          <w:sz w:val="14"/>
          <w:szCs w:val="14"/>
          <w:color w:val="auto"/>
        </w:rPr>
        <w:t>The term “Subsidiary,” when used with respect to any Person, any corporation, partnership, trust, limited liability company or other business entity of which more than 50% of the total voting power of shares of Capital Stock entitled (without regard to the occurrence of any contingency) to vote in the election of directors, managers or trustees thereof is at the time owned or controlled, directly or indirectly, by such person or one or more of the other Subsidiaries of that person or a combination thereof.</w:t>
      </w:r>
    </w:p>
    <w:p>
      <w:pPr>
        <w:spacing w:after="0" w:line="22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4"/>
          <w:szCs w:val="14"/>
          <w:b w:val="1"/>
          <w:bCs w:val="1"/>
          <w:color w:val="auto"/>
        </w:rPr>
        <w:t>Successor Company:</w:t>
      </w:r>
    </w:p>
    <w:p>
      <w:pPr>
        <w:spacing w:after="0" w:line="9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The term “Successor Company” shall have the meaning assigned to it in Section 3.06(h).</w:t>
      </w:r>
    </w:p>
    <w:p>
      <w:pPr>
        <w:spacing w:after="0" w:line="26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4"/>
          <w:szCs w:val="14"/>
          <w:b w:val="1"/>
          <w:bCs w:val="1"/>
          <w:color w:val="auto"/>
        </w:rPr>
        <w:t>Trade Payables:</w:t>
      </w:r>
    </w:p>
    <w:p>
      <w:pPr>
        <w:spacing w:after="0" w:line="96" w:lineRule="exact"/>
        <w:rPr>
          <w:sz w:val="20"/>
          <w:szCs w:val="20"/>
          <w:color w:val="auto"/>
        </w:rPr>
      </w:pPr>
    </w:p>
    <w:p>
      <w:pPr>
        <w:ind w:left="160" w:right="379" w:firstLine="347"/>
        <w:spacing w:after="0" w:line="271" w:lineRule="auto"/>
        <w:rPr>
          <w:sz w:val="20"/>
          <w:szCs w:val="20"/>
          <w:color w:val="auto"/>
        </w:rPr>
      </w:pPr>
      <w:r>
        <w:rPr>
          <w:rFonts w:ascii="Times New Roman" w:cs="Times New Roman" w:eastAsia="Times New Roman" w:hAnsi="Times New Roman"/>
          <w:sz w:val="14"/>
          <w:szCs w:val="14"/>
          <w:color w:val="auto"/>
        </w:rPr>
        <w:t>The term “Trade Payables” means accounts payable or any other Indebtedness or monetary obligations to trade creditors created or assumed by the Company or any Subsidiary of the Company in the ordinary course of business (including guarantees thereof or instruments evidencing such liabilities).</w:t>
      </w:r>
    </w:p>
    <w:p>
      <w:pPr>
        <w:spacing w:after="0" w:line="21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4"/>
          <w:szCs w:val="14"/>
          <w:b w:val="1"/>
          <w:bCs w:val="1"/>
          <w:color w:val="auto"/>
        </w:rPr>
        <w:t>Trust Indenture Act; TIA:</w:t>
      </w:r>
    </w:p>
    <w:p>
      <w:pPr>
        <w:spacing w:after="0" w:line="96" w:lineRule="exact"/>
        <w:rPr>
          <w:sz w:val="20"/>
          <w:szCs w:val="20"/>
          <w:color w:val="auto"/>
        </w:rPr>
      </w:pPr>
    </w:p>
    <w:p>
      <w:pPr>
        <w:ind w:left="160" w:right="319" w:firstLine="347"/>
        <w:spacing w:after="0" w:line="271" w:lineRule="auto"/>
        <w:rPr>
          <w:sz w:val="20"/>
          <w:szCs w:val="20"/>
          <w:color w:val="auto"/>
        </w:rPr>
      </w:pPr>
      <w:r>
        <w:rPr>
          <w:rFonts w:ascii="Times New Roman" w:cs="Times New Roman" w:eastAsia="Times New Roman" w:hAnsi="Times New Roman"/>
          <w:sz w:val="14"/>
          <w:szCs w:val="14"/>
          <w:color w:val="auto"/>
        </w:rPr>
        <w:t>The term “Trust Indenture Act” or “TIA” shall mean the Trust Indenture Act of 1939, as amended, and the rules and regulations thereunder as in effect on the date of this Indenture, except as provided in Section 14.06 and except to the extent any amendment to the Trust Indenture Act expressly provides for application of the Trust Indenture Act as in effect on another date.</w:t>
      </w:r>
    </w:p>
    <w:p>
      <w:pPr>
        <w:spacing w:after="0" w:line="21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4"/>
          <w:szCs w:val="14"/>
          <w:b w:val="1"/>
          <w:bCs w:val="1"/>
          <w:color w:val="auto"/>
        </w:rPr>
        <w:t>Trustee:</w:t>
      </w:r>
    </w:p>
    <w:p>
      <w:pPr>
        <w:spacing w:after="0" w:line="96" w:lineRule="exact"/>
        <w:rPr>
          <w:sz w:val="20"/>
          <w:szCs w:val="20"/>
          <w:color w:val="auto"/>
        </w:rPr>
      </w:pPr>
    </w:p>
    <w:p>
      <w:pPr>
        <w:ind w:left="160" w:right="239" w:firstLine="347"/>
        <w:spacing w:after="0" w:line="265" w:lineRule="auto"/>
        <w:rPr>
          <w:sz w:val="20"/>
          <w:szCs w:val="20"/>
          <w:color w:val="auto"/>
        </w:rPr>
      </w:pPr>
      <w:r>
        <w:rPr>
          <w:rFonts w:ascii="Times New Roman" w:cs="Times New Roman" w:eastAsia="Times New Roman" w:hAnsi="Times New Roman"/>
          <w:sz w:val="14"/>
          <w:szCs w:val="14"/>
          <w:color w:val="auto"/>
        </w:rPr>
        <w:t>The term “Trustee” shall mean the Person named as the “Trustee” in the first paragraph of this Indenture until a successor Trustee shall have become such with respect to one or more series of Securities pursuant to the applicable provisions of this Indenture, and thereafter “Trustee” shall mean or include each Person who is then a Trustee hereunder, and if at any time there is more than one such Person, “Trustee” as used with respect to the Securities of any series shall mean the Trustee with respect to Securities of that series.</w:t>
      </w:r>
    </w:p>
    <w:p>
      <w:pPr>
        <w:spacing w:after="0" w:line="22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4"/>
          <w:szCs w:val="14"/>
          <w:b w:val="1"/>
          <w:bCs w:val="1"/>
          <w:color w:val="auto"/>
        </w:rPr>
        <w:t>U.S. Dollars:</w:t>
      </w:r>
    </w:p>
    <w:p>
      <w:pPr>
        <w:spacing w:after="0" w:line="96" w:lineRule="exact"/>
        <w:rPr>
          <w:sz w:val="20"/>
          <w:szCs w:val="20"/>
          <w:color w:val="auto"/>
        </w:rPr>
      </w:pPr>
    </w:p>
    <w:p>
      <w:pPr>
        <w:ind w:left="160" w:right="379" w:firstLine="347"/>
        <w:spacing w:after="0" w:line="288" w:lineRule="auto"/>
        <w:rPr>
          <w:sz w:val="20"/>
          <w:szCs w:val="20"/>
          <w:color w:val="auto"/>
        </w:rPr>
      </w:pPr>
      <w:r>
        <w:rPr>
          <w:rFonts w:ascii="Times New Roman" w:cs="Times New Roman" w:eastAsia="Times New Roman" w:hAnsi="Times New Roman"/>
          <w:sz w:val="14"/>
          <w:szCs w:val="14"/>
          <w:color w:val="auto"/>
        </w:rPr>
        <w:t>The term “U.S. Dollars” shall mean such currency of the United States as at the time of payment shall be legal tender for the payment of public and private debts.</w:t>
      </w:r>
    </w:p>
    <w:p>
      <w:pPr>
        <w:spacing w:after="0" w:line="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11</w:t>
      </w:r>
    </w:p>
    <w:p>
      <w:pPr>
        <w:sectPr>
          <w:pgSz w:w="11900" w:h="16838" w:orient="portrait"/>
          <w:cols w:equalWidth="0" w:num="1">
            <w:col w:w="9019"/>
          </w:cols>
          <w:pgMar w:left="1440" w:top="240" w:right="1440" w:bottom="1440" w:gutter="0" w:footer="0" w:header="0"/>
        </w:sectPr>
      </w:pPr>
    </w:p>
    <w:bookmarkStart w:id="45" w:name="page46"/>
    <w:bookmarkEnd w:id="45"/>
    <w:p>
      <w:pPr>
        <w:ind w:left="160"/>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6">
                      <a:extLst>
                        <a:ext uri="{28A0092B-C50C-407E-A947-70E740481C1C}"/>
                      </a:extLst>
                    </a:blip>
                    <a:srcRect/>
                    <a:stretch>
                      <a:fillRect/>
                    </a:stretch>
                  </pic:blipFill>
                  <pic:spPr bwMode="auto">
                    <a:xfrm>
                      <a:off x="0" y="0"/>
                      <a:ext cx="7200265" cy="33020"/>
                    </a:xfrm>
                    <a:prstGeom prst="rect">
                      <a:avLst/>
                    </a:prstGeom>
                    <a:noFill/>
                  </pic:spPr>
                </pic:pic>
              </a:graphicData>
            </a:graphic>
          </wp:anchor>
        </w:drawing>
        <w:t>U.S. Legal Tender:</w:t>
      </w:r>
    </w:p>
    <w:p>
      <w:pPr>
        <w:spacing w:after="0" w:line="96" w:lineRule="exact"/>
        <w:rPr>
          <w:sz w:val="20"/>
          <w:szCs w:val="20"/>
          <w:color w:val="auto"/>
        </w:rPr>
      </w:pPr>
    </w:p>
    <w:p>
      <w:pPr>
        <w:ind w:left="160" w:right="219" w:firstLine="347"/>
        <w:spacing w:after="0" w:line="288" w:lineRule="auto"/>
        <w:rPr>
          <w:sz w:val="20"/>
          <w:szCs w:val="20"/>
          <w:color w:val="auto"/>
        </w:rPr>
      </w:pPr>
      <w:r>
        <w:rPr>
          <w:rFonts w:ascii="Times New Roman" w:cs="Times New Roman" w:eastAsia="Times New Roman" w:hAnsi="Times New Roman"/>
          <w:sz w:val="14"/>
          <w:szCs w:val="14"/>
          <w:color w:val="auto"/>
        </w:rPr>
        <w:t>The term “U.S. Legal Tender” shall mean such coin or currency of the United States of America as at the time of payment shall be legal tender for the payment of public and private debts.</w:t>
      </w:r>
    </w:p>
    <w:p>
      <w:pPr>
        <w:spacing w:after="0" w:line="20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4"/>
          <w:szCs w:val="14"/>
          <w:b w:val="1"/>
          <w:bCs w:val="1"/>
          <w:color w:val="auto"/>
        </w:rPr>
        <w:t>U.S. Government Obligations:</w:t>
      </w:r>
    </w:p>
    <w:p>
      <w:pPr>
        <w:spacing w:after="0" w:line="9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The term “U.S. Government Obligations” shall have the meaning assigned to it in Section 12.03.</w:t>
      </w:r>
    </w:p>
    <w:p>
      <w:pPr>
        <w:spacing w:after="0" w:line="26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4"/>
          <w:szCs w:val="14"/>
          <w:b w:val="1"/>
          <w:bCs w:val="1"/>
          <w:color w:val="auto"/>
        </w:rPr>
        <w:t>United States:</w:t>
      </w:r>
    </w:p>
    <w:p>
      <w:pPr>
        <w:spacing w:after="0" w:line="96" w:lineRule="exact"/>
        <w:rPr>
          <w:sz w:val="20"/>
          <w:szCs w:val="20"/>
          <w:color w:val="auto"/>
        </w:rPr>
      </w:pPr>
    </w:p>
    <w:p>
      <w:pPr>
        <w:ind w:left="160" w:right="199" w:firstLine="347"/>
        <w:spacing w:after="0" w:line="288" w:lineRule="auto"/>
        <w:rPr>
          <w:sz w:val="20"/>
          <w:szCs w:val="20"/>
          <w:color w:val="auto"/>
        </w:rPr>
      </w:pPr>
      <w:r>
        <w:rPr>
          <w:rFonts w:ascii="Times New Roman" w:cs="Times New Roman" w:eastAsia="Times New Roman" w:hAnsi="Times New Roman"/>
          <w:sz w:val="14"/>
          <w:szCs w:val="14"/>
          <w:color w:val="auto"/>
        </w:rPr>
        <w:t>The term “United States” shall mean the United States of America, its territories and possessions, any State of the United States and the District of Columbia.</w:t>
      </w:r>
    </w:p>
    <w:p>
      <w:pPr>
        <w:spacing w:after="0" w:line="2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ARTICLE II</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u w:val="single" w:color="auto"/>
          <w:color w:val="auto"/>
        </w:rPr>
        <w:t>FORMS OF SECURITIES</w:t>
      </w:r>
    </w:p>
    <w:p>
      <w:pPr>
        <w:spacing w:after="0" w:line="18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 xml:space="preserve">Section 2.01 </w:t>
      </w:r>
      <w:r>
        <w:rPr>
          <w:rFonts w:ascii="Times New Roman" w:cs="Times New Roman" w:eastAsia="Times New Roman" w:hAnsi="Times New Roman"/>
          <w:sz w:val="14"/>
          <w:szCs w:val="14"/>
          <w:u w:val="single" w:color="auto"/>
          <w:color w:val="auto"/>
        </w:rPr>
        <w:t>Terms of the Securities</w:t>
      </w:r>
      <w:r>
        <w:rPr>
          <w:rFonts w:ascii="Times New Roman" w:cs="Times New Roman" w:eastAsia="Times New Roman" w:hAnsi="Times New Roman"/>
          <w:sz w:val="14"/>
          <w:szCs w:val="14"/>
          <w:color w:val="auto"/>
        </w:rPr>
        <w:t>.</w:t>
      </w:r>
    </w:p>
    <w:p>
      <w:pPr>
        <w:spacing w:after="0" w:line="179" w:lineRule="exact"/>
        <w:rPr>
          <w:sz w:val="20"/>
          <w:szCs w:val="20"/>
          <w:color w:val="auto"/>
        </w:rPr>
      </w:pPr>
    </w:p>
    <w:p>
      <w:pPr>
        <w:ind w:left="160" w:right="219" w:firstLine="784"/>
        <w:spacing w:after="0" w:line="259" w:lineRule="auto"/>
        <w:tabs>
          <w:tab w:leader="none" w:pos="1134"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Securities of each series shall be substantially in the form set forth in a Board Resolution, a Company Order or in one or more indentures supplemental hereto, and shall have such appropriate insertions, omissions, substitutions and other variations as are required or permitted by this Indenture, and may have such letters, numbers or other marks of identification or designation and such legends or endorsements placed thereon as the Company may deem appropriate and as are not inconsistent with the provisions of this Indenture, or as may be required to comply with any law or with any rule or regulation made pursuant thereto or with any rule or regulation of any securities exchange on which any series of the Securities may be listed or of any automated quotation system on which any such series may be quoted, or to conform to usage, all as determined by any Officer executing such Securities as conclusively evidenced by their execution of such Securities.</w:t>
      </w:r>
    </w:p>
    <w:p>
      <w:pPr>
        <w:spacing w:after="0" w:line="145" w:lineRule="exact"/>
        <w:rPr>
          <w:rFonts w:ascii="Times New Roman" w:cs="Times New Roman" w:eastAsia="Times New Roman" w:hAnsi="Times New Roman"/>
          <w:sz w:val="14"/>
          <w:szCs w:val="14"/>
          <w:color w:val="auto"/>
        </w:rPr>
      </w:pPr>
    </w:p>
    <w:p>
      <w:pPr>
        <w:ind w:left="160" w:right="219" w:firstLine="784"/>
        <w:spacing w:after="0" w:line="271" w:lineRule="auto"/>
        <w:tabs>
          <w:tab w:leader="none" w:pos="1142"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terms and provisions of the Securities shall constitute, and are hereby expressly made, a part of this Indenture, and, to the extent applicable, the Company and the Trustee, by their execution and delivery of this Indenture expressly agree to such terms and provisions and to be bound thereby.</w:t>
      </w:r>
    </w:p>
    <w:p>
      <w:pPr>
        <w:spacing w:after="0" w:line="13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 xml:space="preserve">Section 2.02 </w:t>
      </w:r>
      <w:r>
        <w:rPr>
          <w:rFonts w:ascii="Times New Roman" w:cs="Times New Roman" w:eastAsia="Times New Roman" w:hAnsi="Times New Roman"/>
          <w:sz w:val="14"/>
          <w:szCs w:val="14"/>
          <w:u w:val="single" w:color="auto"/>
          <w:color w:val="auto"/>
        </w:rPr>
        <w:t>Form of Trustee’s Certificate of Authentication</w:t>
      </w:r>
      <w:r>
        <w:rPr>
          <w:rFonts w:ascii="Times New Roman" w:cs="Times New Roman" w:eastAsia="Times New Roman" w:hAnsi="Times New Roman"/>
          <w:sz w:val="14"/>
          <w:szCs w:val="14"/>
          <w:color w:val="auto"/>
        </w:rPr>
        <w:t>.</w:t>
      </w:r>
    </w:p>
    <w:p>
      <w:pPr>
        <w:spacing w:after="0" w:line="179" w:lineRule="exact"/>
        <w:rPr>
          <w:sz w:val="20"/>
          <w:szCs w:val="20"/>
          <w:color w:val="auto"/>
        </w:rPr>
      </w:pPr>
    </w:p>
    <w:p>
      <w:pPr>
        <w:ind w:left="160" w:right="279" w:firstLine="784"/>
        <w:spacing w:after="0" w:line="271" w:lineRule="auto"/>
        <w:tabs>
          <w:tab w:leader="none" w:pos="1134"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Only such of the Securities as shall bear thereon a certificate substantially in the form of the Trustee’s certificate of authentication hereinafter recited, executed by the Trustee by manual or electronic signature, shall be valid or become obligatory for any purpose or entitle the Holder thereof to any right or benefit under this Indenture.</w:t>
      </w:r>
    </w:p>
    <w:p>
      <w:pPr>
        <w:spacing w:after="0" w:line="135" w:lineRule="exact"/>
        <w:rPr>
          <w:rFonts w:ascii="Times New Roman" w:cs="Times New Roman" w:eastAsia="Times New Roman" w:hAnsi="Times New Roman"/>
          <w:sz w:val="14"/>
          <w:szCs w:val="14"/>
          <w:color w:val="auto"/>
        </w:rPr>
      </w:pPr>
    </w:p>
    <w:p>
      <w:pPr>
        <w:ind w:left="160" w:right="459" w:firstLine="784"/>
        <w:spacing w:after="0" w:line="288" w:lineRule="auto"/>
        <w:tabs>
          <w:tab w:leader="none" w:pos="1142"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Security shall be dated the date of its authentication, except that any Global Security shall be dated as of the date specified as contemplated in Section 3.01.</w:t>
      </w:r>
    </w:p>
    <w:p>
      <w:pPr>
        <w:spacing w:after="0" w:line="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12</w:t>
      </w:r>
    </w:p>
    <w:p>
      <w:pPr>
        <w:sectPr>
          <w:pgSz w:w="11900" w:h="16838" w:orient="portrait"/>
          <w:cols w:equalWidth="0" w:num="1">
            <w:col w:w="9019"/>
          </w:cols>
          <w:pgMar w:left="1440" w:top="240" w:right="1440" w:bottom="1440" w:gutter="0" w:footer="0" w:header="0"/>
        </w:sectPr>
      </w:pPr>
    </w:p>
    <w:bookmarkStart w:id="46" w:name="page47"/>
    <w:bookmarkEnd w:id="46"/>
    <w:p>
      <w:pPr>
        <w:ind w:left="1140" w:hanging="196"/>
        <w:spacing w:after="0"/>
        <w:tabs>
          <w:tab w:leader="none" w:pos="114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7">
                      <a:extLst>
                        <a:ext uri="{28A0092B-C50C-407E-A947-70E740481C1C}"/>
                      </a:extLst>
                    </a:blip>
                    <a:srcRect/>
                    <a:stretch>
                      <a:fillRect/>
                    </a:stretch>
                  </pic:blipFill>
                  <pic:spPr bwMode="auto">
                    <a:xfrm>
                      <a:off x="0" y="0"/>
                      <a:ext cx="7200265" cy="33020"/>
                    </a:xfrm>
                    <a:prstGeom prst="rect">
                      <a:avLst/>
                    </a:prstGeom>
                    <a:noFill/>
                  </pic:spPr>
                </pic:pic>
              </a:graphicData>
            </a:graphic>
          </wp:anchor>
        </w:drawing>
        <w:t>The form of the Trustee’s certificate of authentication to be borne by the Securities shall be substantially as follows:</w:t>
      </w:r>
    </w:p>
    <w:p>
      <w:pPr>
        <w:spacing w:after="0" w:line="94" w:lineRule="exact"/>
        <w:rPr>
          <w:rFonts w:ascii="Times New Roman" w:cs="Times New Roman" w:eastAsia="Times New Roman" w:hAnsi="Times New Roman"/>
          <w:sz w:val="14"/>
          <w:szCs w:val="14"/>
          <w:color w:val="auto"/>
        </w:rPr>
      </w:pPr>
    </w:p>
    <w:p>
      <w:pPr>
        <w:ind w:left="292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TRUSTEE’S CERTIFICATE OF AUTHENTICATION</w:t>
      </w:r>
    </w:p>
    <w:p>
      <w:pPr>
        <w:spacing w:after="0" w:line="17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This is one of the Securities of the series designated therein referred to in the within-mentioned Indenture.</w:t>
      </w:r>
    </w:p>
    <w:p>
      <w:pPr>
        <w:spacing w:after="0" w:line="201" w:lineRule="exact"/>
        <w:rPr>
          <w:sz w:val="20"/>
          <w:szCs w:val="20"/>
          <w:color w:val="auto"/>
        </w:rPr>
      </w:pPr>
    </w:p>
    <w:p>
      <w:pPr>
        <w:ind w:left="160"/>
        <w:spacing w:after="0"/>
        <w:tabs>
          <w:tab w:leader="none" w:pos="4580" w:val="left"/>
        </w:tabs>
        <w:rPr>
          <w:sz w:val="20"/>
          <w:szCs w:val="20"/>
          <w:color w:val="auto"/>
        </w:rPr>
      </w:pPr>
      <w:r>
        <w:rPr>
          <w:rFonts w:ascii="Times New Roman" w:cs="Times New Roman" w:eastAsia="Times New Roman" w:hAnsi="Times New Roman"/>
          <w:sz w:val="14"/>
          <w:szCs w:val="14"/>
          <w:color w:val="auto"/>
        </w:rPr>
        <w:t>Date of authentication: ___________</w:t>
      </w:r>
      <w:r>
        <w:rPr>
          <w:sz w:val="20"/>
          <w:szCs w:val="20"/>
          <w:color w:val="auto"/>
        </w:rPr>
        <w:tab/>
      </w:r>
      <w:r>
        <w:rPr>
          <w:rFonts w:ascii="Times New Roman" w:cs="Times New Roman" w:eastAsia="Times New Roman" w:hAnsi="Times New Roman"/>
          <w:sz w:val="14"/>
          <w:szCs w:val="14"/>
          <w:color w:val="auto"/>
        </w:rPr>
        <w:t>The Bank of New York Mellon, as Trustee</w:t>
      </w:r>
    </w:p>
    <w:p>
      <w:pPr>
        <w:spacing w:after="0" w:line="179"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14"/>
          <w:szCs w:val="14"/>
          <w:color w:val="auto"/>
        </w:rPr>
        <w:t>By:</w:t>
      </w:r>
    </w:p>
    <w:p>
      <w:pPr>
        <w:spacing w:after="0" w:line="23"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14"/>
          <w:szCs w:val="14"/>
          <w:color w:val="auto"/>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3082925</wp:posOffset>
            </wp:positionH>
            <wp:positionV relativeFrom="paragraph">
              <wp:posOffset>-100965</wp:posOffset>
            </wp:positionV>
            <wp:extent cx="2533650" cy="698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8">
                      <a:extLst>
                        <a:ext uri="{28A0092B-C50C-407E-A947-70E740481C1C}"/>
                      </a:extLst>
                    </a:blip>
                    <a:srcRect/>
                    <a:stretch>
                      <a:fillRect/>
                    </a:stretch>
                  </pic:blipFill>
                  <pic:spPr bwMode="auto">
                    <a:xfrm>
                      <a:off x="0" y="0"/>
                      <a:ext cx="2533650" cy="6985"/>
                    </a:xfrm>
                    <a:prstGeom prst="rect">
                      <a:avLst/>
                    </a:prstGeom>
                    <a:noFill/>
                  </pic:spPr>
                </pic:pic>
              </a:graphicData>
            </a:graphic>
          </wp:anchor>
        </w:drawing>
      </w:r>
    </w:p>
    <w:p>
      <w:pPr>
        <w:spacing w:after="0" w:line="156" w:lineRule="exact"/>
        <w:rPr>
          <w:sz w:val="20"/>
          <w:szCs w:val="20"/>
          <w:color w:val="auto"/>
        </w:rPr>
      </w:pPr>
    </w:p>
    <w:p>
      <w:pPr>
        <w:ind w:left="160" w:right="439" w:firstLine="347"/>
        <w:spacing w:after="0" w:line="271" w:lineRule="auto"/>
        <w:rPr>
          <w:sz w:val="20"/>
          <w:szCs w:val="20"/>
          <w:color w:val="auto"/>
        </w:rPr>
      </w:pPr>
      <w:r>
        <w:rPr>
          <w:rFonts w:ascii="Times New Roman" w:cs="Times New Roman" w:eastAsia="Times New Roman" w:hAnsi="Times New Roman"/>
          <w:sz w:val="14"/>
          <w:szCs w:val="14"/>
          <w:color w:val="auto"/>
        </w:rPr>
        <w:t xml:space="preserve">Section 2.03 </w:t>
      </w:r>
      <w:r>
        <w:rPr>
          <w:rFonts w:ascii="Times New Roman" w:cs="Times New Roman" w:eastAsia="Times New Roman" w:hAnsi="Times New Roman"/>
          <w:sz w:val="14"/>
          <w:szCs w:val="14"/>
          <w:u w:val="single" w:color="auto"/>
          <w:color w:val="auto"/>
        </w:rPr>
        <w:t>Form of Trustee’s Certificate of Authentication by an Authenticating Agent</w:t>
      </w:r>
      <w:r>
        <w:rPr>
          <w:rFonts w:ascii="Times New Roman" w:cs="Times New Roman" w:eastAsia="Times New Roman" w:hAnsi="Times New Roman"/>
          <w:sz w:val="14"/>
          <w:szCs w:val="14"/>
          <w:color w:val="auto"/>
        </w:rPr>
        <w:t>. If at any time there shall be an Authenticating Agent appointed with respect to any series of Securities, then the Trustee’s Certificate of Authentication by such Authenticating Agent to be borne by Securities of each such series shall be substantially as follows:</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TRUSTEE’S CERTIFICATE OF AUTHENTICATION</w:t>
      </w:r>
    </w:p>
    <w:p>
      <w:pPr>
        <w:spacing w:after="0" w:line="17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This is one of the Securities of the series designated therein referred to in the within-mentioned Indenture.</w:t>
      </w:r>
    </w:p>
    <w:p>
      <w:pPr>
        <w:spacing w:after="0" w:line="201" w:lineRule="exact"/>
        <w:rPr>
          <w:sz w:val="20"/>
          <w:szCs w:val="20"/>
          <w:color w:val="auto"/>
        </w:rPr>
      </w:pPr>
    </w:p>
    <w:p>
      <w:pPr>
        <w:ind w:left="160"/>
        <w:spacing w:after="0"/>
        <w:tabs>
          <w:tab w:leader="none" w:pos="4580" w:val="left"/>
        </w:tabs>
        <w:rPr>
          <w:sz w:val="20"/>
          <w:szCs w:val="20"/>
          <w:color w:val="auto"/>
        </w:rPr>
      </w:pPr>
      <w:r>
        <w:rPr>
          <w:rFonts w:ascii="Times New Roman" w:cs="Times New Roman" w:eastAsia="Times New Roman" w:hAnsi="Times New Roman"/>
          <w:sz w:val="14"/>
          <w:szCs w:val="14"/>
          <w:color w:val="auto"/>
        </w:rPr>
        <w:t>Date of authentication: ___________</w:t>
      </w:r>
      <w:r>
        <w:rPr>
          <w:sz w:val="20"/>
          <w:szCs w:val="20"/>
          <w:color w:val="auto"/>
        </w:rPr>
        <w:tab/>
      </w:r>
      <w:r>
        <w:rPr>
          <w:rFonts w:ascii="Times New Roman" w:cs="Times New Roman" w:eastAsia="Times New Roman" w:hAnsi="Times New Roman"/>
          <w:sz w:val="14"/>
          <w:szCs w:val="14"/>
          <w:color w:val="auto"/>
        </w:rPr>
        <w:t>The Bank of New York Mellon, as Trustee</w:t>
      </w:r>
    </w:p>
    <w:p>
      <w:pPr>
        <w:spacing w:after="0" w:line="179" w:lineRule="exact"/>
        <w:rPr>
          <w:sz w:val="20"/>
          <w:szCs w:val="20"/>
          <w:color w:val="auto"/>
        </w:rPr>
      </w:pPr>
    </w:p>
    <w:p>
      <w:pPr>
        <w:ind w:left="4600"/>
        <w:spacing w:after="0"/>
        <w:tabs>
          <w:tab w:leader="none" w:pos="4920" w:val="left"/>
        </w:tabs>
        <w:rPr>
          <w:sz w:val="20"/>
          <w:szCs w:val="20"/>
          <w:color w:val="auto"/>
        </w:rPr>
      </w:pPr>
      <w:r>
        <w:rPr>
          <w:rFonts w:ascii="Times New Roman" w:cs="Times New Roman" w:eastAsia="Times New Roman" w:hAnsi="Times New Roman"/>
          <w:sz w:val="14"/>
          <w:szCs w:val="14"/>
          <w:color w:val="auto"/>
        </w:rPr>
        <w:t>By:</w:t>
      </w:r>
      <w:r>
        <w:rPr>
          <w:sz w:val="20"/>
          <w:szCs w:val="20"/>
          <w:color w:val="auto"/>
        </w:rPr>
        <w:tab/>
      </w:r>
      <w:r>
        <w:rPr>
          <w:rFonts w:ascii="Times New Roman" w:cs="Times New Roman" w:eastAsia="Times New Roman" w:hAnsi="Times New Roman"/>
          <w:sz w:val="14"/>
          <w:szCs w:val="14"/>
          <w:u w:val="single" w:color="auto"/>
          <w:color w:val="auto"/>
        </w:rPr>
        <w:t>[NAME OF AUTHENTICATING AGENT]</w:t>
      </w:r>
    </w:p>
    <w:p>
      <w:pPr>
        <w:spacing w:after="0" w:line="23"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14"/>
          <w:szCs w:val="14"/>
          <w:color w:val="auto"/>
        </w:rPr>
        <w:t>as Authenticating Agent</w:t>
      </w:r>
    </w:p>
    <w:p>
      <w:pPr>
        <w:spacing w:after="0" w:line="176"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14"/>
          <w:szCs w:val="14"/>
          <w:color w:val="auto"/>
        </w:rPr>
        <w:t>By:</w:t>
      </w:r>
    </w:p>
    <w:p>
      <w:pPr>
        <w:spacing w:after="0" w:line="23"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14"/>
          <w:szCs w:val="14"/>
          <w:color w:val="auto"/>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3082925</wp:posOffset>
            </wp:positionH>
            <wp:positionV relativeFrom="paragraph">
              <wp:posOffset>-100965</wp:posOffset>
            </wp:positionV>
            <wp:extent cx="2533650" cy="698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9">
                      <a:extLst>
                        <a:ext uri="{28A0092B-C50C-407E-A947-70E740481C1C}"/>
                      </a:extLst>
                    </a:blip>
                    <a:srcRect/>
                    <a:stretch>
                      <a:fillRect/>
                    </a:stretch>
                  </pic:blipFill>
                  <pic:spPr bwMode="auto">
                    <a:xfrm>
                      <a:off x="0" y="0"/>
                      <a:ext cx="2533650" cy="6985"/>
                    </a:xfrm>
                    <a:prstGeom prst="rect">
                      <a:avLst/>
                    </a:prstGeom>
                    <a:noFill/>
                  </pic:spPr>
                </pic:pic>
              </a:graphicData>
            </a:graphic>
          </wp:anchor>
        </w:drawing>
      </w: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ARTICLE III</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u w:val="single" w:color="auto"/>
          <w:color w:val="auto"/>
        </w:rPr>
        <w:t>THE DEBT SECURITIES</w:t>
      </w:r>
    </w:p>
    <w:p>
      <w:pPr>
        <w:spacing w:after="0" w:line="181" w:lineRule="exact"/>
        <w:rPr>
          <w:sz w:val="20"/>
          <w:szCs w:val="20"/>
          <w:color w:val="auto"/>
        </w:rPr>
      </w:pPr>
    </w:p>
    <w:p>
      <w:pPr>
        <w:jc w:val="both"/>
        <w:ind w:left="160" w:right="279" w:firstLine="347"/>
        <w:spacing w:after="0" w:line="265" w:lineRule="auto"/>
        <w:rPr>
          <w:sz w:val="20"/>
          <w:szCs w:val="20"/>
          <w:color w:val="auto"/>
        </w:rPr>
      </w:pPr>
      <w:r>
        <w:rPr>
          <w:rFonts w:ascii="Times New Roman" w:cs="Times New Roman" w:eastAsia="Times New Roman" w:hAnsi="Times New Roman"/>
          <w:sz w:val="14"/>
          <w:szCs w:val="14"/>
          <w:color w:val="auto"/>
        </w:rPr>
        <w:t xml:space="preserve">Section 3.01 </w:t>
      </w:r>
      <w:r>
        <w:rPr>
          <w:rFonts w:ascii="Times New Roman" w:cs="Times New Roman" w:eastAsia="Times New Roman" w:hAnsi="Times New Roman"/>
          <w:sz w:val="14"/>
          <w:szCs w:val="14"/>
          <w:u w:val="single" w:color="auto"/>
          <w:color w:val="auto"/>
        </w:rPr>
        <w:t>Amount Unlimited; Issuable in Series</w:t>
      </w:r>
      <w:r>
        <w:rPr>
          <w:rFonts w:ascii="Times New Roman" w:cs="Times New Roman" w:eastAsia="Times New Roman" w:hAnsi="Times New Roman"/>
          <w:sz w:val="14"/>
          <w:szCs w:val="14"/>
          <w:color w:val="auto"/>
        </w:rPr>
        <w:t>. The aggregate principal amount of Securities that may be authenticated and delivered under this Indenture is unlimited. The Securities may be issued in one or more series. At or prior to the issuance of Securities of any series, the title and terms on each series of Securities shall be as set forth in a Board Resolution, Company Order or in one or more indentures supplemental hereto, including the following:</w:t>
      </w:r>
    </w:p>
    <w:p>
      <w:pPr>
        <w:spacing w:after="0" w:line="55" w:lineRule="exact"/>
        <w:rPr>
          <w:sz w:val="20"/>
          <w:szCs w:val="20"/>
          <w:color w:val="auto"/>
        </w:rPr>
      </w:pPr>
    </w:p>
    <w:p>
      <w:pPr>
        <w:ind w:left="160" w:right="199" w:firstLine="784"/>
        <w:spacing w:after="0" w:line="288" w:lineRule="auto"/>
        <w:tabs>
          <w:tab w:leader="none" w:pos="1134"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title of the Securities of the series (which shall distinguish the Securities of such series from the Securities of all other series, except to the extent that additional Securities of an existing series are being issued);</w:t>
      </w:r>
    </w:p>
    <w:p>
      <w:pPr>
        <w:spacing w:after="0" w:line="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13</w:t>
      </w:r>
    </w:p>
    <w:p>
      <w:pPr>
        <w:sectPr>
          <w:pgSz w:w="11900" w:h="16838" w:orient="portrait"/>
          <w:cols w:equalWidth="0" w:num="1">
            <w:col w:w="9019"/>
          </w:cols>
          <w:pgMar w:left="1440" w:top="242" w:right="1440" w:bottom="1440" w:gutter="0" w:footer="0" w:header="0"/>
        </w:sectPr>
      </w:pPr>
    </w:p>
    <w:bookmarkStart w:id="47" w:name="page48"/>
    <w:bookmarkEnd w:id="47"/>
    <w:p>
      <w:pPr>
        <w:ind w:left="160" w:right="259" w:firstLine="784"/>
        <w:spacing w:after="0" w:line="271" w:lineRule="auto"/>
        <w:tabs>
          <w:tab w:leader="none" w:pos="1142"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0">
                      <a:extLst>
                        <a:ext uri="{28A0092B-C50C-407E-A947-70E740481C1C}"/>
                      </a:extLst>
                    </a:blip>
                    <a:srcRect/>
                    <a:stretch>
                      <a:fillRect/>
                    </a:stretch>
                  </pic:blipFill>
                  <pic:spPr bwMode="auto">
                    <a:xfrm>
                      <a:off x="0" y="0"/>
                      <a:ext cx="7200265" cy="33020"/>
                    </a:xfrm>
                    <a:prstGeom prst="rect">
                      <a:avLst/>
                    </a:prstGeom>
                    <a:noFill/>
                  </pic:spPr>
                </pic:pic>
              </a:graphicData>
            </a:graphic>
          </wp:anchor>
        </w:drawing>
        <w:t>any limit upon the aggregate principal amount of the Securities of the series that may be authenticated and delivered under this Indenture (except for Securities authenticated and delivered upon transfer of, or in exchange for, or in lieu of, other Securities of such series pursuant to Section 3.04, 3.06, 3.07, 4.06, or 14.05);</w:t>
      </w:r>
    </w:p>
    <w:p>
      <w:pPr>
        <w:spacing w:after="0" w:line="135" w:lineRule="exact"/>
        <w:rPr>
          <w:rFonts w:ascii="Times New Roman" w:cs="Times New Roman" w:eastAsia="Times New Roman" w:hAnsi="Times New Roman"/>
          <w:sz w:val="14"/>
          <w:szCs w:val="14"/>
          <w:color w:val="auto"/>
        </w:rPr>
      </w:pPr>
    </w:p>
    <w:p>
      <w:pPr>
        <w:jc w:val="both"/>
        <w:ind w:left="160" w:right="419" w:firstLine="784"/>
        <w:spacing w:after="0" w:line="271" w:lineRule="auto"/>
        <w:tabs>
          <w:tab w:leader="none" w:pos="1134"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dates on which or periods during which the Securities of the series may be issued, and the dates on, or the range of dates within, which the principal of and premium, if any, on the Securities of such series are or may be payable or the method by which such date or dates shall be determined or extended;</w:t>
      </w:r>
    </w:p>
    <w:p>
      <w:pPr>
        <w:spacing w:after="0" w:line="135" w:lineRule="exact"/>
        <w:rPr>
          <w:rFonts w:ascii="Times New Roman" w:cs="Times New Roman" w:eastAsia="Times New Roman" w:hAnsi="Times New Roman"/>
          <w:sz w:val="14"/>
          <w:szCs w:val="14"/>
          <w:color w:val="auto"/>
        </w:rPr>
      </w:pPr>
    </w:p>
    <w:p>
      <w:pPr>
        <w:ind w:left="160" w:right="219" w:firstLine="784"/>
        <w:spacing w:after="0" w:line="260" w:lineRule="auto"/>
        <w:tabs>
          <w:tab w:leader="none" w:pos="1142"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rate or rates at which the Securities of the series shall bear interest, if any, or the method by which such rate or rates shall be determined, whether such interest shall be payable in cash or additional Securities of the same series or shall accrue and increase the aggregate principal amount outstanding of such series (including if such Securities were originally issued at a discount), the date or dates from which such interest shall accrue, or the method by which such date or dates shall be determined, the Interest Payment Dates on which any such interest shall be payable, and the Record Dates for the determination of Holders to whom interest is payable on such Interest Payment Dates or the method by which such date or dates shall be determined, the right, if any, to extend or defer interest payments and the duration of such extension or deferral;</w:t>
      </w:r>
    </w:p>
    <w:p>
      <w:pPr>
        <w:spacing w:after="0" w:line="145" w:lineRule="exact"/>
        <w:rPr>
          <w:rFonts w:ascii="Times New Roman" w:cs="Times New Roman" w:eastAsia="Times New Roman" w:hAnsi="Times New Roman"/>
          <w:sz w:val="14"/>
          <w:szCs w:val="14"/>
          <w:color w:val="auto"/>
        </w:rPr>
      </w:pPr>
    </w:p>
    <w:p>
      <w:pPr>
        <w:ind w:left="160" w:right="519" w:firstLine="784"/>
        <w:spacing w:after="0" w:line="288" w:lineRule="auto"/>
        <w:tabs>
          <w:tab w:leader="none" w:pos="1134"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other than U.S. Dollars, the Foreign Currency in which Securities of the series shall be denominated or in which payment of the principal of, premium, if any, or interest on the Securities of the series shall be payable and any other terms concerning such payment;</w:t>
      </w:r>
    </w:p>
    <w:p>
      <w:pPr>
        <w:spacing w:after="0" w:line="124" w:lineRule="exact"/>
        <w:rPr>
          <w:rFonts w:ascii="Times New Roman" w:cs="Times New Roman" w:eastAsia="Times New Roman" w:hAnsi="Times New Roman"/>
          <w:sz w:val="14"/>
          <w:szCs w:val="14"/>
          <w:color w:val="auto"/>
        </w:rPr>
      </w:pPr>
    </w:p>
    <w:p>
      <w:pPr>
        <w:ind w:left="160" w:right="179" w:firstLine="784"/>
        <w:spacing w:after="0" w:line="271" w:lineRule="auto"/>
        <w:tabs>
          <w:tab w:leader="none" w:pos="1118"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the amount of payment of principal of, premium, if any, or interest on the Securities of the series may be determined with reference to an index, formula or other method including, but not limited to, an index based on a Currency or Currencies other than that in which the Securities are stated to be payable, the manner in which such amounts shall be determined;</w:t>
      </w:r>
    </w:p>
    <w:p>
      <w:pPr>
        <w:spacing w:after="0" w:line="135" w:lineRule="exact"/>
        <w:rPr>
          <w:rFonts w:ascii="Times New Roman" w:cs="Times New Roman" w:eastAsia="Times New Roman" w:hAnsi="Times New Roman"/>
          <w:sz w:val="14"/>
          <w:szCs w:val="14"/>
          <w:color w:val="auto"/>
        </w:rPr>
      </w:pPr>
    </w:p>
    <w:p>
      <w:pPr>
        <w:ind w:left="160" w:right="239" w:firstLine="784"/>
        <w:spacing w:after="0" w:line="262" w:lineRule="auto"/>
        <w:tabs>
          <w:tab w:leader="none" w:pos="1142"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the principal of, premium, if any, or interest on Securities of the series are to be payable, at the election of the Company or a Holder thereof, in a Currency other than that in which the Securities are denominated or stated to be payable without such election, the period or periods within which, and the terms and conditions upon which, such election may be made and the time and the manner of determining the exchange rate between the Currency in which the Securities are denominated or payable without such election and the Currency in which the Securities are to be paid if such election is made;</w:t>
      </w:r>
    </w:p>
    <w:p>
      <w:pPr>
        <w:spacing w:after="0" w:line="142" w:lineRule="exact"/>
        <w:rPr>
          <w:rFonts w:ascii="Times New Roman" w:cs="Times New Roman" w:eastAsia="Times New Roman" w:hAnsi="Times New Roman"/>
          <w:sz w:val="14"/>
          <w:szCs w:val="14"/>
          <w:color w:val="auto"/>
        </w:rPr>
      </w:pPr>
    </w:p>
    <w:p>
      <w:pPr>
        <w:ind w:left="160" w:right="219" w:firstLine="784"/>
        <w:spacing w:after="0" w:line="271" w:lineRule="auto"/>
        <w:tabs>
          <w:tab w:leader="none" w:pos="1142"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place or places, if any, in addition to or instead of the Corporate Trust Office of the Trustee where the principal of, premium, if any, and interest on Securities of the series shall be payable, and where Securities of any series may be presented for registration of transfer, exchange or conversion, and the place or places where notices and demands to or upon the Company in respect of the Securities of such series may be made;</w:t>
      </w:r>
    </w:p>
    <w:p>
      <w:pPr>
        <w:spacing w:after="0" w:line="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14</w:t>
      </w:r>
    </w:p>
    <w:p>
      <w:pPr>
        <w:sectPr>
          <w:pgSz w:w="11900" w:h="16838" w:orient="portrait"/>
          <w:cols w:equalWidth="0" w:num="1">
            <w:col w:w="9019"/>
          </w:cols>
          <w:pgMar w:left="1440" w:top="242" w:right="1440" w:bottom="1440" w:gutter="0" w:footer="0" w:header="0"/>
        </w:sectPr>
      </w:pPr>
    </w:p>
    <w:bookmarkStart w:id="48" w:name="page49"/>
    <w:bookmarkEnd w:id="48"/>
    <w:p>
      <w:pPr>
        <w:ind w:left="160" w:right="259" w:firstLine="784"/>
        <w:spacing w:after="0" w:line="288" w:lineRule="auto"/>
        <w:tabs>
          <w:tab w:leader="none" w:pos="1111"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1">
                      <a:extLst>
                        <a:ext uri="{28A0092B-C50C-407E-A947-70E740481C1C}"/>
                      </a:extLst>
                    </a:blip>
                    <a:srcRect/>
                    <a:stretch>
                      <a:fillRect/>
                    </a:stretch>
                  </pic:blipFill>
                  <pic:spPr bwMode="auto">
                    <a:xfrm>
                      <a:off x="0" y="0"/>
                      <a:ext cx="7200265" cy="33020"/>
                    </a:xfrm>
                    <a:prstGeom prst="rect">
                      <a:avLst/>
                    </a:prstGeom>
                    <a:noFill/>
                  </pic:spPr>
                </pic:pic>
              </a:graphicData>
            </a:graphic>
          </wp:anchor>
        </w:drawing>
        <w:t>the price or prices at which, the period or periods within which or the date or dates on which, and the terms and conditions upon which Securities of the series may be redeemed, in whole or in part, at the option of the Company, if the Company is to have that option;</w:t>
      </w:r>
    </w:p>
    <w:p>
      <w:pPr>
        <w:spacing w:after="0" w:line="124" w:lineRule="exact"/>
        <w:rPr>
          <w:rFonts w:ascii="Times New Roman" w:cs="Times New Roman" w:eastAsia="Times New Roman" w:hAnsi="Times New Roman"/>
          <w:sz w:val="14"/>
          <w:szCs w:val="14"/>
          <w:color w:val="auto"/>
        </w:rPr>
      </w:pPr>
    </w:p>
    <w:p>
      <w:pPr>
        <w:ind w:left="160" w:right="259" w:firstLine="784"/>
        <w:spacing w:after="0" w:line="265" w:lineRule="auto"/>
        <w:tabs>
          <w:tab w:leader="none" w:pos="1111"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obligation or right, if any, of the Company to redeem, purchase or repay Securities of the series pursuant to any sinking fund, amortization or analogous provisions or at the option of a Holder thereof and the price or prices at which, the period or periods within which or the date or dates on which, the Currency or Currencies in which and the terms and conditions upon which Securities of the series shall be redeemed, purchased or repaid, in whole or in part, pursuant to such obligation;</w:t>
      </w:r>
    </w:p>
    <w:p>
      <w:pPr>
        <w:spacing w:after="0" w:line="140" w:lineRule="exact"/>
        <w:rPr>
          <w:rFonts w:ascii="Times New Roman" w:cs="Times New Roman" w:eastAsia="Times New Roman" w:hAnsi="Times New Roman"/>
          <w:sz w:val="14"/>
          <w:szCs w:val="14"/>
          <w:color w:val="auto"/>
        </w:rPr>
      </w:pPr>
    </w:p>
    <w:p>
      <w:pPr>
        <w:ind w:left="160" w:right="479" w:firstLine="784"/>
        <w:spacing w:after="0" w:line="288" w:lineRule="auto"/>
        <w:tabs>
          <w:tab w:leader="none" w:pos="1142"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other than minimum denominations of $2,000 and any integral multiple of $1,000 in excess thereof, the denominations in which Securities of the series shall be issuable;</w:t>
      </w:r>
    </w:p>
    <w:p>
      <w:pPr>
        <w:spacing w:after="0" w:line="124" w:lineRule="exact"/>
        <w:rPr>
          <w:rFonts w:ascii="Times New Roman" w:cs="Times New Roman" w:eastAsia="Times New Roman" w:hAnsi="Times New Roman"/>
          <w:sz w:val="14"/>
          <w:szCs w:val="14"/>
          <w:color w:val="auto"/>
        </w:rPr>
      </w:pPr>
    </w:p>
    <w:p>
      <w:pPr>
        <w:ind w:left="160" w:right="179" w:firstLine="784"/>
        <w:spacing w:after="0" w:line="288" w:lineRule="auto"/>
        <w:tabs>
          <w:tab w:leader="none" w:pos="1111"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other than the principal amount thereof, the portion of the principal amount of the Securities of the series which shall be payable upon declaration of acceleration of the Maturity thereof pursuant to Section 7.02;</w:t>
      </w:r>
    </w:p>
    <w:p>
      <w:pPr>
        <w:spacing w:after="0" w:line="124" w:lineRule="exact"/>
        <w:rPr>
          <w:rFonts w:ascii="Times New Roman" w:cs="Times New Roman" w:eastAsia="Times New Roman" w:hAnsi="Times New Roman"/>
          <w:sz w:val="14"/>
          <w:szCs w:val="14"/>
          <w:color w:val="auto"/>
        </w:rPr>
      </w:pPr>
    </w:p>
    <w:p>
      <w:pPr>
        <w:ind w:left="160" w:right="639" w:firstLine="784"/>
        <w:spacing w:after="0" w:line="288" w:lineRule="auto"/>
        <w:tabs>
          <w:tab w:leader="none" w:pos="1181"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guarantors, if any, of the Securities of the series, and the extent of the guarantees (including provisions relating to seniority, subordination, and the release of the guarantors), if any, and any additions or changes to permit or facilitate guarantees of such Securities;</w:t>
      </w:r>
    </w:p>
    <w:p>
      <w:pPr>
        <w:spacing w:after="0" w:line="124" w:lineRule="exact"/>
        <w:rPr>
          <w:rFonts w:ascii="Times New Roman" w:cs="Times New Roman" w:eastAsia="Times New Roman" w:hAnsi="Times New Roman"/>
          <w:sz w:val="14"/>
          <w:szCs w:val="14"/>
          <w:color w:val="auto"/>
        </w:rPr>
      </w:pPr>
    </w:p>
    <w:p>
      <w:pPr>
        <w:ind w:left="160" w:right="299" w:firstLine="784"/>
        <w:spacing w:after="0" w:line="288" w:lineRule="auto"/>
        <w:tabs>
          <w:tab w:leader="none" w:pos="1142"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whether the Securities of the series are to be issued as Original Issue Discount Securities and the amount of discount with which such Securities may be issued;</w:t>
      </w:r>
    </w:p>
    <w:p>
      <w:pPr>
        <w:spacing w:after="0" w:line="124" w:lineRule="exact"/>
        <w:rPr>
          <w:rFonts w:ascii="Times New Roman" w:cs="Times New Roman" w:eastAsia="Times New Roman" w:hAnsi="Times New Roman"/>
          <w:sz w:val="14"/>
          <w:szCs w:val="14"/>
          <w:color w:val="auto"/>
        </w:rPr>
      </w:pPr>
    </w:p>
    <w:p>
      <w:pPr>
        <w:ind w:left="160" w:right="279" w:firstLine="784"/>
        <w:spacing w:after="0" w:line="271" w:lineRule="auto"/>
        <w:tabs>
          <w:tab w:leader="none" w:pos="1142"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the provisions of Article XII hereof shall not be applicable with respect to the Securities of such series; or any addition to or change in the provisions of Article XII and, if the Securities of any series are payable in a Currency other than U.S. Dollars, the Currency or the nature of the government obligations to be deposited with the Trustee pursuant to Section 12.08;</w:t>
      </w:r>
    </w:p>
    <w:p>
      <w:pPr>
        <w:spacing w:after="0" w:line="135" w:lineRule="exact"/>
        <w:rPr>
          <w:rFonts w:ascii="Times New Roman" w:cs="Times New Roman" w:eastAsia="Times New Roman" w:hAnsi="Times New Roman"/>
          <w:sz w:val="14"/>
          <w:szCs w:val="14"/>
          <w:color w:val="auto"/>
        </w:rPr>
      </w:pPr>
    </w:p>
    <w:p>
      <w:pPr>
        <w:ind w:left="160" w:right="319" w:firstLine="784"/>
        <w:spacing w:after="0" w:line="265" w:lineRule="auto"/>
        <w:tabs>
          <w:tab w:leader="none" w:pos="1142"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whether the Securities of the series are to be issued in whole or in part in the form of one or more Global Securities and, in such case, the Depositary for such Global Security or Global Securities, and the terms and conditions, if any, upon which interests in such Global Security or Global Securities may be exchanged in whole or in part for the individual securities represented thereby in definitive form registered in the name or names of Persons other than such Depositary or a nominee or nominees thereof (“Individual Securities”);</w:t>
      </w:r>
    </w:p>
    <w:p>
      <w:pPr>
        <w:spacing w:after="0" w:line="140" w:lineRule="exact"/>
        <w:rPr>
          <w:rFonts w:ascii="Times New Roman" w:cs="Times New Roman" w:eastAsia="Times New Roman" w:hAnsi="Times New Roman"/>
          <w:sz w:val="14"/>
          <w:szCs w:val="14"/>
          <w:color w:val="auto"/>
        </w:rPr>
      </w:pPr>
    </w:p>
    <w:p>
      <w:pPr>
        <w:ind w:left="1140" w:hanging="196"/>
        <w:spacing w:after="0"/>
        <w:tabs>
          <w:tab w:leader="none" w:pos="114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date as of which any Global Security of the series shall be dated if other than the original issuance of the first Security of the series</w:t>
      </w:r>
    </w:p>
    <w:p>
      <w:pPr>
        <w:spacing w:after="0" w:line="23" w:lineRule="exact"/>
        <w:rPr>
          <w:rFonts w:ascii="Times New Roman" w:cs="Times New Roman" w:eastAsia="Times New Roman" w:hAnsi="Times New Roman"/>
          <w:sz w:val="14"/>
          <w:szCs w:val="14"/>
          <w:color w:val="auto"/>
        </w:rPr>
      </w:pPr>
    </w:p>
    <w:p>
      <w:pPr>
        <w:ind w:left="16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be issued;</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15</w:t>
      </w:r>
    </w:p>
    <w:p>
      <w:pPr>
        <w:sectPr>
          <w:pgSz w:w="11900" w:h="16838" w:orient="portrait"/>
          <w:cols w:equalWidth="0" w:num="1">
            <w:col w:w="9019"/>
          </w:cols>
          <w:pgMar w:left="1440" w:top="242" w:right="1440" w:bottom="1440" w:gutter="0" w:footer="0" w:header="0"/>
        </w:sectPr>
      </w:pPr>
    </w:p>
    <w:bookmarkStart w:id="49" w:name="page50"/>
    <w:bookmarkEnd w:id="49"/>
    <w:p>
      <w:pPr>
        <w:ind w:left="1120" w:hanging="176"/>
        <w:spacing w:after="0"/>
        <w:tabs>
          <w:tab w:leader="none" w:pos="112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2">
                      <a:extLst>
                        <a:ext uri="{28A0092B-C50C-407E-A947-70E740481C1C}"/>
                      </a:extLst>
                    </a:blip>
                    <a:srcRect/>
                    <a:stretch>
                      <a:fillRect/>
                    </a:stretch>
                  </pic:blipFill>
                  <pic:spPr bwMode="auto">
                    <a:xfrm>
                      <a:off x="0" y="0"/>
                      <a:ext cx="7200265" cy="33020"/>
                    </a:xfrm>
                    <a:prstGeom prst="rect">
                      <a:avLst/>
                    </a:prstGeom>
                    <a:noFill/>
                  </pic:spPr>
                </pic:pic>
              </a:graphicData>
            </a:graphic>
          </wp:anchor>
        </w:drawing>
        <w:t>the form or forms of the Securities of the series including such legends as may be required by applicable law;</w:t>
      </w:r>
    </w:p>
    <w:p>
      <w:pPr>
        <w:spacing w:after="0" w:line="179" w:lineRule="exact"/>
        <w:rPr>
          <w:rFonts w:ascii="Times New Roman" w:cs="Times New Roman" w:eastAsia="Times New Roman" w:hAnsi="Times New Roman"/>
          <w:sz w:val="14"/>
          <w:szCs w:val="14"/>
          <w:color w:val="auto"/>
        </w:rPr>
      </w:pPr>
    </w:p>
    <w:p>
      <w:pPr>
        <w:ind w:left="160" w:right="299" w:firstLine="784"/>
        <w:spacing w:after="0" w:line="271" w:lineRule="auto"/>
        <w:tabs>
          <w:tab w:leader="none" w:pos="1126"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the Securities of the series are to be convertible into or exchangeable for any securities or property of any Person (including the Company), the terms and conditions upon which such Securities will be so convertible or exchangeable, and any additions or changes, if any, to permit or facilitate such conversion or exchange;</w:t>
      </w:r>
    </w:p>
    <w:p>
      <w:pPr>
        <w:spacing w:after="0" w:line="135" w:lineRule="exact"/>
        <w:rPr>
          <w:rFonts w:ascii="Times New Roman" w:cs="Times New Roman" w:eastAsia="Times New Roman" w:hAnsi="Times New Roman"/>
          <w:sz w:val="14"/>
          <w:szCs w:val="14"/>
          <w:color w:val="auto"/>
        </w:rPr>
      </w:pPr>
    </w:p>
    <w:p>
      <w:pPr>
        <w:ind w:left="160" w:right="339" w:firstLine="784"/>
        <w:spacing w:after="0" w:line="288" w:lineRule="auto"/>
        <w:tabs>
          <w:tab w:leader="none" w:pos="1111"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whether the Securities of such series are subject to subordination and the terms of such subordination (for avoidance of doubt, Article XV shall not apply to the Securities of any series unless the terms of such series expressly state it applies);</w:t>
      </w:r>
    </w:p>
    <w:p>
      <w:pPr>
        <w:spacing w:after="0" w:line="124" w:lineRule="exact"/>
        <w:rPr>
          <w:rFonts w:ascii="Times New Roman" w:cs="Times New Roman" w:eastAsia="Times New Roman" w:hAnsi="Times New Roman"/>
          <w:sz w:val="14"/>
          <w:szCs w:val="14"/>
          <w:color w:val="auto"/>
        </w:rPr>
      </w:pPr>
    </w:p>
    <w:p>
      <w:pPr>
        <w:ind w:left="1140" w:hanging="196"/>
        <w:spacing w:after="0"/>
        <w:tabs>
          <w:tab w:leader="none" w:pos="114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whether the Securities of such series are to be secured and the terms of such security;</w:t>
      </w:r>
    </w:p>
    <w:p>
      <w:pPr>
        <w:spacing w:after="0" w:line="179" w:lineRule="exact"/>
        <w:rPr>
          <w:rFonts w:ascii="Times New Roman" w:cs="Times New Roman" w:eastAsia="Times New Roman" w:hAnsi="Times New Roman"/>
          <w:sz w:val="14"/>
          <w:szCs w:val="14"/>
          <w:color w:val="auto"/>
        </w:rPr>
      </w:pPr>
    </w:p>
    <w:p>
      <w:pPr>
        <w:ind w:left="1140" w:hanging="196"/>
        <w:spacing w:after="0"/>
        <w:tabs>
          <w:tab w:leader="none" w:pos="114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restriction or condition on the transferability of the Securities of such series;</w:t>
      </w:r>
    </w:p>
    <w:p>
      <w:pPr>
        <w:spacing w:after="0" w:line="179" w:lineRule="exact"/>
        <w:rPr>
          <w:rFonts w:ascii="Times New Roman" w:cs="Times New Roman" w:eastAsia="Times New Roman" w:hAnsi="Times New Roman"/>
          <w:sz w:val="14"/>
          <w:szCs w:val="14"/>
          <w:color w:val="auto"/>
        </w:rPr>
      </w:pPr>
    </w:p>
    <w:p>
      <w:pPr>
        <w:ind w:left="1180" w:hanging="236"/>
        <w:spacing w:after="0"/>
        <w:tabs>
          <w:tab w:leader="none" w:pos="118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addition or change in the provisions related to compensation and reimbursement of the Trustee which applies to Securities of such</w:t>
      </w:r>
    </w:p>
    <w:p>
      <w:pPr>
        <w:spacing w:after="0" w:line="23" w:lineRule="exact"/>
        <w:rPr>
          <w:rFonts w:ascii="Times New Roman" w:cs="Times New Roman" w:eastAsia="Times New Roman" w:hAnsi="Times New Roman"/>
          <w:sz w:val="14"/>
          <w:szCs w:val="14"/>
          <w:color w:val="auto"/>
        </w:rPr>
      </w:pPr>
    </w:p>
    <w:p>
      <w:pPr>
        <w:ind w:left="16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series;</w:t>
      </w:r>
    </w:p>
    <w:p>
      <w:pPr>
        <w:spacing w:after="0" w:line="165" w:lineRule="exact"/>
        <w:rPr>
          <w:rFonts w:ascii="Times New Roman" w:cs="Times New Roman" w:eastAsia="Times New Roman" w:hAnsi="Times New Roman"/>
          <w:sz w:val="14"/>
          <w:szCs w:val="14"/>
          <w:color w:val="auto"/>
        </w:rPr>
      </w:pPr>
    </w:p>
    <w:p>
      <w:pPr>
        <w:ind w:left="160" w:right="279" w:firstLine="784"/>
        <w:spacing w:after="0" w:line="288" w:lineRule="auto"/>
        <w:tabs>
          <w:tab w:leader="none" w:pos="1142"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addition or change in the provisions related to supplemental indentures set forth in Sections 14.01, 14.02 and 14.04 which applies to Securities of such series;</w:t>
      </w:r>
    </w:p>
    <w:p>
      <w:pPr>
        <w:spacing w:after="0" w:line="124" w:lineRule="exact"/>
        <w:rPr>
          <w:rFonts w:ascii="Times New Roman" w:cs="Times New Roman" w:eastAsia="Times New Roman" w:hAnsi="Times New Roman"/>
          <w:sz w:val="14"/>
          <w:szCs w:val="14"/>
          <w:color w:val="auto"/>
        </w:rPr>
      </w:pPr>
    </w:p>
    <w:p>
      <w:pPr>
        <w:ind w:left="1140" w:hanging="196"/>
        <w:spacing w:after="0"/>
        <w:tabs>
          <w:tab w:leader="none" w:pos="114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provisions, if any, granting special rights to Holders upon the occurrence of specified events;</w:t>
      </w:r>
    </w:p>
    <w:p>
      <w:pPr>
        <w:spacing w:after="0" w:line="179" w:lineRule="exact"/>
        <w:rPr>
          <w:rFonts w:ascii="Times New Roman" w:cs="Times New Roman" w:eastAsia="Times New Roman" w:hAnsi="Times New Roman"/>
          <w:sz w:val="14"/>
          <w:szCs w:val="14"/>
          <w:color w:val="auto"/>
        </w:rPr>
      </w:pPr>
    </w:p>
    <w:p>
      <w:pPr>
        <w:ind w:left="160" w:right="279" w:firstLine="784"/>
        <w:spacing w:after="0" w:line="271" w:lineRule="auto"/>
        <w:tabs>
          <w:tab w:leader="none" w:pos="1134"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addition to or change in the Events of Default which applies to any Securities of the series and any change in the right of the Trustee or the requisite Holders of such Securities to declare the principal amount thereof due and payable pursuant to Section 7.02 and any addition or change in the provisions set forth in Article VII which applies to Securities of the series;</w:t>
      </w:r>
    </w:p>
    <w:p>
      <w:pPr>
        <w:spacing w:after="0" w:line="136" w:lineRule="exact"/>
        <w:rPr>
          <w:sz w:val="20"/>
          <w:szCs w:val="20"/>
          <w:color w:val="auto"/>
        </w:rPr>
      </w:pPr>
    </w:p>
    <w:p>
      <w:pPr>
        <w:ind w:left="1200" w:hanging="256"/>
        <w:spacing w:after="0"/>
        <w:tabs>
          <w:tab w:leader="none" w:pos="120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addition to or change in the covenants set forth in Article VI which applies to Securities of the series;</w:t>
      </w:r>
    </w:p>
    <w:p>
      <w:pPr>
        <w:spacing w:after="0" w:line="179" w:lineRule="exact"/>
        <w:rPr>
          <w:rFonts w:ascii="Times New Roman" w:cs="Times New Roman" w:eastAsia="Times New Roman" w:hAnsi="Times New Roman"/>
          <w:sz w:val="14"/>
          <w:szCs w:val="14"/>
          <w:color w:val="auto"/>
        </w:rPr>
      </w:pPr>
    </w:p>
    <w:p>
      <w:pPr>
        <w:ind w:left="160" w:right="219" w:firstLine="784"/>
        <w:spacing w:after="0" w:line="288" w:lineRule="auto"/>
        <w:tabs>
          <w:tab w:leader="none" w:pos="1213"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other terms of the Securities of such series (which terms shall not be inconsistent with the provisions of the TIA, but may modify, amend, supplement or delete any of the terms of this Indenture with respect to such series); and</w:t>
      </w:r>
    </w:p>
    <w:p>
      <w:pPr>
        <w:spacing w:after="0" w:line="124" w:lineRule="exact"/>
        <w:rPr>
          <w:rFonts w:ascii="Times New Roman" w:cs="Times New Roman" w:eastAsia="Times New Roman" w:hAnsi="Times New Roman"/>
          <w:sz w:val="14"/>
          <w:szCs w:val="14"/>
          <w:color w:val="auto"/>
        </w:rPr>
      </w:pPr>
    </w:p>
    <w:p>
      <w:pPr>
        <w:ind w:left="1200" w:hanging="256"/>
        <w:spacing w:after="0"/>
        <w:tabs>
          <w:tab w:leader="none" w:pos="120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limitations on recourse to any subsidiaries of the Company.</w:t>
      </w:r>
    </w:p>
    <w:p>
      <w:pPr>
        <w:spacing w:after="0" w:line="179" w:lineRule="exact"/>
        <w:rPr>
          <w:sz w:val="20"/>
          <w:szCs w:val="20"/>
          <w:color w:val="auto"/>
        </w:rPr>
      </w:pPr>
    </w:p>
    <w:p>
      <w:pPr>
        <w:ind w:left="160" w:right="219"/>
        <w:spacing w:after="0" w:line="288" w:lineRule="auto"/>
        <w:rPr>
          <w:sz w:val="20"/>
          <w:szCs w:val="20"/>
          <w:color w:val="auto"/>
        </w:rPr>
      </w:pPr>
      <w:r>
        <w:rPr>
          <w:rFonts w:ascii="Times New Roman" w:cs="Times New Roman" w:eastAsia="Times New Roman" w:hAnsi="Times New Roman"/>
          <w:sz w:val="14"/>
          <w:szCs w:val="14"/>
          <w:color w:val="auto"/>
        </w:rPr>
        <w:t>All Securities of any one series shall be substantially identical, except as to denomination and except as may otherwise be provided herein or set forth in a Board Resolution, a Company Order or in one or more indentures supplemental hereto.</w:t>
      </w:r>
    </w:p>
    <w:p>
      <w:pPr>
        <w:spacing w:after="0" w:line="124" w:lineRule="exact"/>
        <w:rPr>
          <w:sz w:val="20"/>
          <w:szCs w:val="20"/>
          <w:color w:val="auto"/>
        </w:rPr>
      </w:pPr>
    </w:p>
    <w:p>
      <w:pPr>
        <w:ind w:left="160" w:right="359"/>
        <w:spacing w:after="0" w:line="271" w:lineRule="auto"/>
        <w:rPr>
          <w:sz w:val="20"/>
          <w:szCs w:val="20"/>
          <w:color w:val="auto"/>
        </w:rPr>
      </w:pPr>
      <w:r>
        <w:rPr>
          <w:rFonts w:ascii="Times New Roman" w:cs="Times New Roman" w:eastAsia="Times New Roman" w:hAnsi="Times New Roman"/>
          <w:sz w:val="14"/>
          <w:szCs w:val="14"/>
          <w:color w:val="auto"/>
        </w:rPr>
        <w:t>Unless otherwise specified with respect to the Securities of any series pursuant to this Section 3.01, the Company may, at its option, at any time and from time to time, issue additional Securities of any series of Securities previously issued under this Indenture which together shall constitute a single series of Securities under this Indenture.</w:t>
      </w:r>
    </w:p>
    <w:p>
      <w:pPr>
        <w:spacing w:after="0" w:line="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16</w:t>
      </w:r>
    </w:p>
    <w:p>
      <w:pPr>
        <w:sectPr>
          <w:pgSz w:w="11900" w:h="16838" w:orient="portrait"/>
          <w:cols w:equalWidth="0" w:num="1">
            <w:col w:w="9019"/>
          </w:cols>
          <w:pgMar w:left="1440" w:top="242" w:right="1440" w:bottom="1440" w:gutter="0" w:footer="0" w:header="0"/>
        </w:sectPr>
      </w:pPr>
    </w:p>
    <w:bookmarkStart w:id="50" w:name="page51"/>
    <w:bookmarkEnd w:id="50"/>
    <w:p>
      <w:pPr>
        <w:jc w:val="both"/>
        <w:ind w:left="160" w:right="239" w:firstLine="347"/>
        <w:spacing w:after="0" w:line="271"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3">
                      <a:extLst>
                        <a:ext uri="{28A0092B-C50C-407E-A947-70E740481C1C}"/>
                      </a:extLst>
                    </a:blip>
                    <a:srcRect/>
                    <a:stretch>
                      <a:fillRect/>
                    </a:stretch>
                  </pic:blipFill>
                  <pic:spPr bwMode="auto">
                    <a:xfrm>
                      <a:off x="0" y="0"/>
                      <a:ext cx="7200265" cy="33020"/>
                    </a:xfrm>
                    <a:prstGeom prst="rect">
                      <a:avLst/>
                    </a:prstGeom>
                    <a:noFill/>
                  </pic:spPr>
                </pic:pic>
              </a:graphicData>
            </a:graphic>
          </wp:anchor>
        </w:drawing>
        <w:t xml:space="preserve">Section 3.02 </w:t>
      </w:r>
      <w:r>
        <w:rPr>
          <w:rFonts w:ascii="Times New Roman" w:cs="Times New Roman" w:eastAsia="Times New Roman" w:hAnsi="Times New Roman"/>
          <w:sz w:val="14"/>
          <w:szCs w:val="14"/>
          <w:u w:val="single" w:color="auto"/>
          <w:color w:val="auto"/>
        </w:rPr>
        <w:t>Denominations</w:t>
      </w:r>
      <w:r>
        <w:rPr>
          <w:rFonts w:ascii="Times New Roman" w:cs="Times New Roman" w:eastAsia="Times New Roman" w:hAnsi="Times New Roman"/>
          <w:sz w:val="14"/>
          <w:szCs w:val="14"/>
          <w:color w:val="auto"/>
        </w:rPr>
        <w:t>. In the absence of any specification pursuant to Section 3.01 with respect to Securities of any series, the Securities of such series shall be issuable only as Securities in minimum denominations of $2,000 and any integral multiple of $1,000 in excess thereof, and shall be payable only in U.S. Dollars.</w:t>
      </w:r>
    </w:p>
    <w:p>
      <w:pPr>
        <w:spacing w:after="0" w:line="13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 xml:space="preserve">Section 3.03 </w:t>
      </w:r>
      <w:r>
        <w:rPr>
          <w:rFonts w:ascii="Times New Roman" w:cs="Times New Roman" w:eastAsia="Times New Roman" w:hAnsi="Times New Roman"/>
          <w:sz w:val="14"/>
          <w:szCs w:val="14"/>
          <w:u w:val="single" w:color="auto"/>
          <w:color w:val="auto"/>
        </w:rPr>
        <w:t>Execution, Authentication, Delivery and Dating</w:t>
      </w:r>
      <w:r>
        <w:rPr>
          <w:rFonts w:ascii="Times New Roman" w:cs="Times New Roman" w:eastAsia="Times New Roman" w:hAnsi="Times New Roman"/>
          <w:sz w:val="14"/>
          <w:szCs w:val="14"/>
          <w:color w:val="auto"/>
        </w:rPr>
        <w:t>.</w:t>
      </w:r>
    </w:p>
    <w:p>
      <w:pPr>
        <w:spacing w:after="0" w:line="179" w:lineRule="exact"/>
        <w:rPr>
          <w:sz w:val="20"/>
          <w:szCs w:val="20"/>
          <w:color w:val="auto"/>
        </w:rPr>
      </w:pPr>
    </w:p>
    <w:p>
      <w:pPr>
        <w:ind w:left="160" w:right="199" w:firstLine="784"/>
        <w:spacing w:after="0" w:line="271" w:lineRule="auto"/>
        <w:tabs>
          <w:tab w:leader="none" w:pos="1134"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Securities shall be executed in the name and on behalf of the Company by the manual, facsimile or other electronic signature of any Officer. If the Person whose signature is on a Security no longer holds that office at the time the Security is authenticated and delivered, the Security shall nevertheless be valid.</w:t>
      </w:r>
    </w:p>
    <w:p>
      <w:pPr>
        <w:spacing w:after="0" w:line="135" w:lineRule="exact"/>
        <w:rPr>
          <w:rFonts w:ascii="Times New Roman" w:cs="Times New Roman" w:eastAsia="Times New Roman" w:hAnsi="Times New Roman"/>
          <w:sz w:val="14"/>
          <w:szCs w:val="14"/>
          <w:color w:val="auto"/>
        </w:rPr>
      </w:pPr>
    </w:p>
    <w:p>
      <w:pPr>
        <w:ind w:left="160" w:right="219" w:firstLine="784"/>
        <w:spacing w:after="0" w:line="262" w:lineRule="auto"/>
        <w:tabs>
          <w:tab w:leader="none" w:pos="1142"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At any time and from time to time after the execution and delivery of this Indenture, the Company may deliver Securities of any series executed by the Company to the Trustee for authentication, together with a Company Order for the authentication and delivery of such Securities and, if required pursuant to Section 3.01, a supplemental indenture or Company Order setting forth the terms of the Securities of a series. The Trustee shall thereupon authenticate and deliver such Securities without any further action by the Company. The Company Order shall specify the amount of Securities to be authenticated and the date on which the original issue of Securities is to be authenticated.</w:t>
      </w:r>
    </w:p>
    <w:p>
      <w:pPr>
        <w:spacing w:after="0" w:line="142" w:lineRule="exact"/>
        <w:rPr>
          <w:rFonts w:ascii="Times New Roman" w:cs="Times New Roman" w:eastAsia="Times New Roman" w:hAnsi="Times New Roman"/>
          <w:sz w:val="14"/>
          <w:szCs w:val="14"/>
          <w:color w:val="auto"/>
        </w:rPr>
      </w:pPr>
    </w:p>
    <w:p>
      <w:pPr>
        <w:ind w:left="160" w:right="259" w:firstLine="784"/>
        <w:spacing w:after="0" w:line="265" w:lineRule="auto"/>
        <w:tabs>
          <w:tab w:leader="none" w:pos="1134"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authenticating the Securities of any series and accepting the additional responsibilities under this Indenture in relation to such Securities the Trustee shall receive, and (subject to Section 11.02) shall be fully protected in relying upon an Officer’s Certificate and an Opinion of Counsel, each prepared in accordance with Section 16.01 stating that the conditions precedent, if any, provided for in the Indenture have been complied with.</w:t>
      </w:r>
    </w:p>
    <w:p>
      <w:pPr>
        <w:spacing w:after="0" w:line="140" w:lineRule="exact"/>
        <w:rPr>
          <w:rFonts w:ascii="Times New Roman" w:cs="Times New Roman" w:eastAsia="Times New Roman" w:hAnsi="Times New Roman"/>
          <w:sz w:val="14"/>
          <w:szCs w:val="14"/>
          <w:color w:val="auto"/>
        </w:rPr>
      </w:pPr>
    </w:p>
    <w:p>
      <w:pPr>
        <w:ind w:left="160" w:right="199" w:firstLine="784"/>
        <w:spacing w:after="0" w:line="271" w:lineRule="auto"/>
        <w:tabs>
          <w:tab w:leader="none" w:pos="1142"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Trustee shall have the right to decline to authenticate and deliver the Securities under this Section 3.03 if the issue of the Securities pursuant to this Indenture will affect the Trustee’s own rights, duties or immunities under the Securities and this Indenture or otherwise in a manner which is not reasonably acceptable to the Trustee.</w:t>
      </w:r>
    </w:p>
    <w:p>
      <w:pPr>
        <w:spacing w:after="0" w:line="135" w:lineRule="exact"/>
        <w:rPr>
          <w:rFonts w:ascii="Times New Roman" w:cs="Times New Roman" w:eastAsia="Times New Roman" w:hAnsi="Times New Roman"/>
          <w:sz w:val="14"/>
          <w:szCs w:val="14"/>
          <w:color w:val="auto"/>
        </w:rPr>
      </w:pPr>
    </w:p>
    <w:p>
      <w:pPr>
        <w:ind w:left="160" w:right="419" w:firstLine="784"/>
        <w:spacing w:after="0" w:line="288" w:lineRule="auto"/>
        <w:tabs>
          <w:tab w:leader="none" w:pos="1134"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Security shall be dated the date of its authentication, except as otherwise provided pursuant to Section 3.01 with respect to the Securities of such series.</w:t>
      </w:r>
    </w:p>
    <w:p>
      <w:pPr>
        <w:spacing w:after="0" w:line="124" w:lineRule="exact"/>
        <w:rPr>
          <w:rFonts w:ascii="Times New Roman" w:cs="Times New Roman" w:eastAsia="Times New Roman" w:hAnsi="Times New Roman"/>
          <w:sz w:val="14"/>
          <w:szCs w:val="14"/>
          <w:color w:val="auto"/>
        </w:rPr>
      </w:pPr>
    </w:p>
    <w:p>
      <w:pPr>
        <w:ind w:left="160" w:right="179" w:firstLine="784"/>
        <w:spacing w:after="0" w:line="271" w:lineRule="auto"/>
        <w:tabs>
          <w:tab w:leader="none" w:pos="1118"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Notwithstanding the provisions of Section 3.01 and of this Section 3.03, if all of the Securities of any series are not to be originally issued at the same time, then the documents required to be delivered pursuant to this Section 3.03 must be delivered only once prior to the authentication and delivery of the first Security of such series;</w:t>
      </w:r>
    </w:p>
    <w:p>
      <w:pPr>
        <w:spacing w:after="0" w:line="135" w:lineRule="exact"/>
        <w:rPr>
          <w:rFonts w:ascii="Times New Roman" w:cs="Times New Roman" w:eastAsia="Times New Roman" w:hAnsi="Times New Roman"/>
          <w:sz w:val="14"/>
          <w:szCs w:val="14"/>
          <w:color w:val="auto"/>
        </w:rPr>
      </w:pPr>
    </w:p>
    <w:p>
      <w:pPr>
        <w:jc w:val="both"/>
        <w:ind w:left="160" w:right="219" w:firstLine="784"/>
        <w:spacing w:after="0" w:line="271" w:lineRule="auto"/>
        <w:tabs>
          <w:tab w:leader="none" w:pos="1142"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the Company shall establish pursuant to Section 3.01 that the Securities of a series are to be issued in whole or in part in the form of one or more Global Securities, then the Company shall execute and the Trustee shall authenticate and deliver one or more Global Securities that (i) shall represent an aggregate amount equal to the aggregate principal amount of the Outstanding Securities of such series to be represented by such Global</w:t>
      </w:r>
    </w:p>
    <w:p>
      <w:pPr>
        <w:spacing w:after="0" w:line="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17</w:t>
      </w:r>
    </w:p>
    <w:p>
      <w:pPr>
        <w:sectPr>
          <w:pgSz w:w="11900" w:h="16838" w:orient="portrait"/>
          <w:cols w:equalWidth="0" w:num="1">
            <w:col w:w="9019"/>
          </w:cols>
          <w:pgMar w:left="1440" w:top="242" w:right="1440" w:bottom="1440" w:gutter="0" w:footer="0" w:header="0"/>
        </w:sectPr>
      </w:pPr>
    </w:p>
    <w:bookmarkStart w:id="51" w:name="page52"/>
    <w:bookmarkEnd w:id="51"/>
    <w:p>
      <w:pPr>
        <w:ind w:left="160"/>
        <w:spacing w:after="0"/>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4">
                      <a:extLst>
                        <a:ext uri="{28A0092B-C50C-407E-A947-70E740481C1C}"/>
                      </a:extLst>
                    </a:blip>
                    <a:srcRect/>
                    <a:stretch>
                      <a:fillRect/>
                    </a:stretch>
                  </pic:blipFill>
                  <pic:spPr bwMode="auto">
                    <a:xfrm>
                      <a:off x="0" y="0"/>
                      <a:ext cx="7200265" cy="33020"/>
                    </a:xfrm>
                    <a:prstGeom prst="rect">
                      <a:avLst/>
                    </a:prstGeom>
                    <a:noFill/>
                  </pic:spPr>
                </pic:pic>
              </a:graphicData>
            </a:graphic>
          </wp:anchor>
        </w:drawing>
        <w:t>Securities, (ii) shall be registered, in the name of the Depositary for such Global Security or Global Securities or the nominee of such Depositary,</w:t>
      </w:r>
    </w:p>
    <w:p>
      <w:pPr>
        <w:spacing w:after="0" w:line="23" w:lineRule="exact"/>
        <w:rPr>
          <w:sz w:val="20"/>
          <w:szCs w:val="20"/>
          <w:color w:val="auto"/>
        </w:rPr>
      </w:pPr>
    </w:p>
    <w:p>
      <w:pPr>
        <w:ind w:left="160" w:right="479" w:firstLine="3"/>
        <w:spacing w:after="0" w:line="267" w:lineRule="auto"/>
        <w:tabs>
          <w:tab w:leader="none" w:pos="408"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shall be delivered by the Trustee to such Depositary or pursuant to such Depositary’s instruction and (iv) shall bear a legend substantially to the following effect:</w:t>
      </w:r>
    </w:p>
    <w:p>
      <w:pPr>
        <w:spacing w:after="0" w:line="53" w:lineRule="exact"/>
        <w:rPr>
          <w:sz w:val="20"/>
          <w:szCs w:val="20"/>
          <w:color w:val="auto"/>
        </w:rPr>
      </w:pPr>
    </w:p>
    <w:p>
      <w:pPr>
        <w:jc w:val="both"/>
        <w:ind w:left="520" w:right="319"/>
        <w:spacing w:after="0" w:line="271" w:lineRule="auto"/>
        <w:rPr>
          <w:sz w:val="20"/>
          <w:szCs w:val="20"/>
          <w:color w:val="auto"/>
        </w:rPr>
      </w:pPr>
      <w:r>
        <w:rPr>
          <w:rFonts w:ascii="Times New Roman" w:cs="Times New Roman" w:eastAsia="Times New Roman" w:hAnsi="Times New Roman"/>
          <w:sz w:val="14"/>
          <w:szCs w:val="14"/>
          <w:color w:val="auto"/>
        </w:rPr>
        <w:t>“THIS SECURITY IS A GLOBAL SECURITY WITHIN THE MEANING OF THE INDENTURE HEREINAFTER REFERRED TO AND IS REGISTERED IN THE NAME OF THE DEPOSITARY OR A NOMINEE OF THE DEPOSITARY, WHICH SHALL BE TREATED BY THE COMPANY, THE TRUSTEE AND ANY AGENT THEREOF AS OWNER AND HOLDER OF THIS SECURITY FOR ALL PURPOSES.</w:t>
      </w:r>
    </w:p>
    <w:p>
      <w:pPr>
        <w:spacing w:after="0" w:line="50" w:lineRule="exact"/>
        <w:rPr>
          <w:sz w:val="20"/>
          <w:szCs w:val="20"/>
          <w:color w:val="auto"/>
        </w:rPr>
      </w:pPr>
    </w:p>
    <w:p>
      <w:pPr>
        <w:ind w:left="520" w:right="179"/>
        <w:spacing w:after="0" w:line="259" w:lineRule="auto"/>
        <w:rPr>
          <w:sz w:val="20"/>
          <w:szCs w:val="20"/>
          <w:color w:val="auto"/>
        </w:rPr>
      </w:pPr>
      <w:r>
        <w:rPr>
          <w:rFonts w:ascii="Times New Roman" w:cs="Times New Roman" w:eastAsia="Times New Roman" w:hAnsi="Times New Roman"/>
          <w:sz w:val="14"/>
          <w:szCs w:val="14"/>
          <w:color w:val="auto"/>
        </w:rPr>
        <w:t>UNLESS THIS CERTIFICATE IS PRESENTED BY AN AUTHORIZED REPRESENTATIVE OF THE DEPOSITARY TRUST COMPANY, INC. (THE “DEPOSITARY”) TO THE COMPANY OR ITS AGENT FOR REGISTRATION OF TRANSFER, EXCHANGE OR PAYMENT, AND ANY CERTIFICATE ISSUED IS REGISTERED IN THE NAME OF CEDE &amp; CO. OR IN SUCH OTHER NAME AS IS REQUESTED BY AN AUTHORIZED REPRESENTATIVE OF THE DEPOSITARY (AND ANY PAYMENT HEREON IS MADE TO CEDE &amp; CO. OR TO SUCH OTHER ENTITY AS IS REQUESTED BY AN AUTHORIZED REPRESENTATIVE OF THE DEPOSITARY), ANY TRANSFER, PLEDGE OR OTHER USE HEREOF FOR VALUE OR OTHERWISE BY OR TO ANY PERSON IS WRONGFUL SINCE THE REGISTERED OWNER HEREOF, CEDE &amp; CO., HAS AN INTEREST HEREIN.</w:t>
      </w:r>
    </w:p>
    <w:p>
      <w:pPr>
        <w:spacing w:after="0" w:line="61" w:lineRule="exact"/>
        <w:rPr>
          <w:sz w:val="20"/>
          <w:szCs w:val="20"/>
          <w:color w:val="auto"/>
        </w:rPr>
      </w:pPr>
    </w:p>
    <w:p>
      <w:pPr>
        <w:ind w:left="520" w:right="239"/>
        <w:spacing w:after="0" w:line="265" w:lineRule="auto"/>
        <w:rPr>
          <w:sz w:val="20"/>
          <w:szCs w:val="20"/>
          <w:color w:val="auto"/>
        </w:rPr>
      </w:pPr>
      <w:r>
        <w:rPr>
          <w:rFonts w:ascii="Times New Roman" w:cs="Times New Roman" w:eastAsia="Times New Roman" w:hAnsi="Times New Roman"/>
          <w:sz w:val="14"/>
          <w:szCs w:val="14"/>
          <w:color w:val="auto"/>
        </w:rPr>
        <w:t>TRANSFERS OF THIS GLOBAL SECURITY SHALL BE LIMITED TO TRANSFERS IN WHOLE, BUT NOT IN PART, BY THE DEPOSITARY TO A NOMINEE OF THE DEPOSITARY, OR BY A NOMINEE OF THE DEPOSITARY TO THE DEPOSITARY OR ANOTHER NOMINEE OF THE DEPOSITARY, OR BY THE DEPOSITARY OR ANY SUCH NOMINEE TO A SUCCESSOR DEPOSITARY OR A NOMINEE OF SUCH SUCCESSOR DEPOSITARY.”</w:t>
      </w:r>
    </w:p>
    <w:p>
      <w:pPr>
        <w:spacing w:after="0" w:line="140" w:lineRule="exact"/>
        <w:rPr>
          <w:sz w:val="20"/>
          <w:szCs w:val="20"/>
          <w:color w:val="auto"/>
        </w:rPr>
      </w:pPr>
    </w:p>
    <w:p>
      <w:pPr>
        <w:ind w:left="160" w:right="299" w:firstLine="347"/>
        <w:spacing w:after="0" w:line="288" w:lineRule="auto"/>
        <w:rPr>
          <w:sz w:val="20"/>
          <w:szCs w:val="20"/>
          <w:color w:val="auto"/>
        </w:rPr>
      </w:pPr>
      <w:r>
        <w:rPr>
          <w:rFonts w:ascii="Times New Roman" w:cs="Times New Roman" w:eastAsia="Times New Roman" w:hAnsi="Times New Roman"/>
          <w:sz w:val="14"/>
          <w:szCs w:val="14"/>
          <w:color w:val="auto"/>
        </w:rPr>
        <w:t>The aggregate principal amount of each Global Security may from time to time be increased or decreased by adjustments made on the records of the Security Custodian, as provided in this Indenture.</w:t>
      </w:r>
    </w:p>
    <w:p>
      <w:pPr>
        <w:spacing w:after="0" w:line="124" w:lineRule="exact"/>
        <w:rPr>
          <w:sz w:val="20"/>
          <w:szCs w:val="20"/>
          <w:color w:val="auto"/>
        </w:rPr>
      </w:pPr>
    </w:p>
    <w:p>
      <w:pPr>
        <w:ind w:left="160" w:right="219" w:firstLine="784"/>
        <w:spacing w:after="0" w:line="288" w:lineRule="auto"/>
        <w:tabs>
          <w:tab w:leader="none" w:pos="1142"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Depositary designated pursuant to Section 3.01 for a Global Security in registered form must, at the time of its designation and at all times while it serves as such Depositary, be a clearing agency registered under the Exchange Act and any other applicable statute or regulation.</w:t>
      </w:r>
    </w:p>
    <w:p>
      <w:pPr>
        <w:spacing w:after="0" w:line="124" w:lineRule="exact"/>
        <w:rPr>
          <w:rFonts w:ascii="Times New Roman" w:cs="Times New Roman" w:eastAsia="Times New Roman" w:hAnsi="Times New Roman"/>
          <w:sz w:val="14"/>
          <w:szCs w:val="14"/>
          <w:color w:val="auto"/>
        </w:rPr>
      </w:pPr>
    </w:p>
    <w:p>
      <w:pPr>
        <w:ind w:left="160" w:right="239" w:firstLine="784"/>
        <w:spacing w:after="0" w:line="260" w:lineRule="auto"/>
        <w:tabs>
          <w:tab w:leader="none" w:pos="1111"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Members of, or participants in, the Depositary (“Members”) shall have no rights under this Indenture with respect to any Global Security held on their behalf by the Depositary or by the Security Custodian under such Global Security, and the Depositary shall be treated by the Company, the Trustee, the Paying Agent and the Registrar and any of their agents as the absolute owner of such Global Security for all purposes whatsoever. Notwithstanding the foregoing, nothing herein shall prevent the Company, the Trustee, the Paying Agent or the Registrar or any of their agents from giving effect to any written certification, proxy or other authorization furnished by the Depositary or impair, as between the Depositary and its Members,</w:t>
      </w:r>
    </w:p>
    <w:p>
      <w:pPr>
        <w:spacing w:after="0" w:line="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18</w:t>
      </w:r>
    </w:p>
    <w:p>
      <w:pPr>
        <w:sectPr>
          <w:pgSz w:w="11900" w:h="16838" w:orient="portrait"/>
          <w:cols w:equalWidth="0" w:num="1">
            <w:col w:w="9019"/>
          </w:cols>
          <w:pgMar w:left="1440" w:top="242" w:right="1440" w:bottom="1440" w:gutter="0" w:footer="0" w:header="0"/>
        </w:sectPr>
      </w:pPr>
    </w:p>
    <w:bookmarkStart w:id="52" w:name="page53"/>
    <w:bookmarkEnd w:id="52"/>
    <w:p>
      <w:pPr>
        <w:ind w:left="160" w:right="219"/>
        <w:spacing w:after="0" w:line="271"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5">
                      <a:extLst>
                        <a:ext uri="{28A0092B-C50C-407E-A947-70E740481C1C}"/>
                      </a:extLst>
                    </a:blip>
                    <a:srcRect/>
                    <a:stretch>
                      <a:fillRect/>
                    </a:stretch>
                  </pic:blipFill>
                  <pic:spPr bwMode="auto">
                    <a:xfrm>
                      <a:off x="0" y="0"/>
                      <a:ext cx="7200265" cy="33020"/>
                    </a:xfrm>
                    <a:prstGeom prst="rect">
                      <a:avLst/>
                    </a:prstGeom>
                    <a:noFill/>
                  </pic:spPr>
                </pic:pic>
              </a:graphicData>
            </a:graphic>
          </wp:anchor>
        </w:drawing>
        <w:t>the operation of customary practices of the Depositary governing the exercise of the rights of an owner of a beneficial interest in any Global Security. The Holder of a Global Security may grant proxies and otherwise authorize any Person, including Members and Persons that may hold interests through Members, to take any action that a Holder is entitled to take under this Indenture or the Securities.</w:t>
      </w:r>
    </w:p>
    <w:p>
      <w:pPr>
        <w:spacing w:after="0" w:line="136" w:lineRule="exact"/>
        <w:rPr>
          <w:sz w:val="20"/>
          <w:szCs w:val="20"/>
          <w:color w:val="auto"/>
        </w:rPr>
      </w:pPr>
    </w:p>
    <w:p>
      <w:pPr>
        <w:ind w:left="160" w:right="239" w:firstLine="784"/>
        <w:spacing w:after="0" w:line="262" w:lineRule="auto"/>
        <w:tabs>
          <w:tab w:leader="none" w:pos="1111"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 Security shall be entitled to any benefit under this Indenture or be valid or obligatory for any purpose unless there appears on such Security a certificate of authentication substantially in one of the forms provided for herein duly executed by the Trustee or by an Authenticating Agent by manual or electronic signature of an authorized signatory of the Trustee or Authenticating Agent, and such certificate upon any Security shall be conclusive evidence, and the only evidence, that such Security has been duly authenticated and delivered hereunder and is entitled to the benefits of this Indenture.</w:t>
      </w:r>
    </w:p>
    <w:p>
      <w:pPr>
        <w:spacing w:after="0" w:line="14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 xml:space="preserve">Section 3.04 </w:t>
      </w:r>
      <w:r>
        <w:rPr>
          <w:rFonts w:ascii="Times New Roman" w:cs="Times New Roman" w:eastAsia="Times New Roman" w:hAnsi="Times New Roman"/>
          <w:sz w:val="14"/>
          <w:szCs w:val="14"/>
          <w:u w:val="single" w:color="auto"/>
          <w:color w:val="auto"/>
        </w:rPr>
        <w:t>Temporary Securities</w:t>
      </w:r>
      <w:r>
        <w:rPr>
          <w:rFonts w:ascii="Times New Roman" w:cs="Times New Roman" w:eastAsia="Times New Roman" w:hAnsi="Times New Roman"/>
          <w:sz w:val="14"/>
          <w:szCs w:val="14"/>
          <w:color w:val="auto"/>
        </w:rPr>
        <w:t>.</w:t>
      </w:r>
    </w:p>
    <w:p>
      <w:pPr>
        <w:spacing w:after="0" w:line="179" w:lineRule="exact"/>
        <w:rPr>
          <w:sz w:val="20"/>
          <w:szCs w:val="20"/>
          <w:color w:val="auto"/>
        </w:rPr>
      </w:pPr>
    </w:p>
    <w:p>
      <w:pPr>
        <w:ind w:left="160" w:right="219" w:firstLine="784"/>
        <w:spacing w:after="0" w:line="258" w:lineRule="auto"/>
        <w:tabs>
          <w:tab w:leader="none" w:pos="1134"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Pending the preparation of definitive Securities of any series, the Company may execute, and upon Company Order the Trustee shall authenticate and deliver, temporary Securities that are printed, lithographed, typewritten, mimeographed or otherwise reproduced, in any authorized denominations, substantially of the tenor of the definitive Securities in lieu of which they are issued, in registered form and with such appropriate insertions, omissions, substitutions and other variations as the Officer executing such Securities may determine, as conclusively evidenced by their execution of such Securities. Any such temporary Security may be in the form of one or more Global Securities, representing all or a portion of the Outstanding Securities of such series. Every such temporary Security shall be executed by the Company and shall be authenticated and delivered by the Trustee upon the same conditions and in substantially the same manner, and with the same effect, as the definitive Security or Securities in lieu of which it is issued.</w:t>
      </w:r>
    </w:p>
    <w:p>
      <w:pPr>
        <w:spacing w:after="0" w:line="147" w:lineRule="exact"/>
        <w:rPr>
          <w:rFonts w:ascii="Times New Roman" w:cs="Times New Roman" w:eastAsia="Times New Roman" w:hAnsi="Times New Roman"/>
          <w:sz w:val="14"/>
          <w:szCs w:val="14"/>
          <w:color w:val="auto"/>
        </w:rPr>
      </w:pPr>
    </w:p>
    <w:p>
      <w:pPr>
        <w:ind w:left="160" w:right="279" w:firstLine="784"/>
        <w:spacing w:after="0" w:line="259" w:lineRule="auto"/>
        <w:tabs>
          <w:tab w:leader="none" w:pos="1142"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temporary Securities of any series are issued, the Company will cause definitive Securities of such series to be prepared without unreasonable delay. After the preparation of definitive Securities of such series, the temporary Securities of such series shall be exchangeable for definitive Securities of such series upon surrender of such temporary Securities at the office or agency of the Company in a Place of Payment for such series, without charge to the Holder. Upon surrender for cancellation of any one or more temporary Securities of any series, the Company shall execute and the Trustee shall authenticate and deliver in exchange therefor a like principal amount of definitive Securities of the same series of authorized denominations and of like tenor. Until so exchanged, the temporary Securities of any series shall in all respects be entitled to the same benefits under this Indenture as definitive Securities of such series.</w:t>
      </w:r>
    </w:p>
    <w:p>
      <w:pPr>
        <w:spacing w:after="0" w:line="145" w:lineRule="exact"/>
        <w:rPr>
          <w:rFonts w:ascii="Times New Roman" w:cs="Times New Roman" w:eastAsia="Times New Roman" w:hAnsi="Times New Roman"/>
          <w:sz w:val="14"/>
          <w:szCs w:val="14"/>
          <w:color w:val="auto"/>
        </w:rPr>
      </w:pPr>
    </w:p>
    <w:p>
      <w:pPr>
        <w:ind w:left="160" w:right="219" w:firstLine="784"/>
        <w:spacing w:after="0" w:line="265" w:lineRule="auto"/>
        <w:tabs>
          <w:tab w:leader="none" w:pos="1134"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Upon any exchange of a portion of a temporary Global Security for a definitive Global Security or for the Individual Securities represented thereby pursuant to this Section 3.04 or Section 3.06, the temporary Global Security shall be endorsed by the Trustee to reflect the reduction of the principal amount evidenced thereby, whereupon the principal amount of such temporary Global Security shall be reduced for all purposes by the amount so exchanged and endorsed.</w:t>
      </w:r>
    </w:p>
    <w:p>
      <w:pPr>
        <w:spacing w:after="0" w:line="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19</w:t>
      </w:r>
    </w:p>
    <w:p>
      <w:pPr>
        <w:sectPr>
          <w:pgSz w:w="11900" w:h="16838" w:orient="portrait"/>
          <w:cols w:equalWidth="0" w:num="1">
            <w:col w:w="9019"/>
          </w:cols>
          <w:pgMar w:left="1440" w:top="242" w:right="1440" w:bottom="1440" w:gutter="0" w:footer="0" w:header="0"/>
        </w:sectPr>
      </w:pPr>
    </w:p>
    <w:bookmarkStart w:id="53" w:name="page54"/>
    <w:bookmarkEnd w:id="53"/>
    <w:p>
      <w:pPr>
        <w:ind w:left="520"/>
        <w:spacing w:after="0"/>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6">
                      <a:extLst>
                        <a:ext uri="{28A0092B-C50C-407E-A947-70E740481C1C}"/>
                      </a:extLst>
                    </a:blip>
                    <a:srcRect/>
                    <a:stretch>
                      <a:fillRect/>
                    </a:stretch>
                  </pic:blipFill>
                  <pic:spPr bwMode="auto">
                    <a:xfrm>
                      <a:off x="0" y="0"/>
                      <a:ext cx="7200265" cy="33020"/>
                    </a:xfrm>
                    <a:prstGeom prst="rect">
                      <a:avLst/>
                    </a:prstGeom>
                    <a:noFill/>
                  </pic:spPr>
                </pic:pic>
              </a:graphicData>
            </a:graphic>
          </wp:anchor>
        </w:drawing>
        <w:t xml:space="preserve">Section 3.05 </w:t>
      </w:r>
      <w:r>
        <w:rPr>
          <w:rFonts w:ascii="Times New Roman" w:cs="Times New Roman" w:eastAsia="Times New Roman" w:hAnsi="Times New Roman"/>
          <w:sz w:val="14"/>
          <w:szCs w:val="14"/>
          <w:u w:val="single" w:color="auto"/>
          <w:color w:val="auto"/>
        </w:rPr>
        <w:t>Registrar</w:t>
      </w:r>
      <w:r>
        <w:rPr>
          <w:rFonts w:ascii="Times New Roman" w:cs="Times New Roman" w:eastAsia="Times New Roman" w:hAnsi="Times New Roman"/>
          <w:sz w:val="14"/>
          <w:szCs w:val="14"/>
          <w:color w:val="auto"/>
        </w:rPr>
        <w:t>.</w:t>
      </w:r>
    </w:p>
    <w:p>
      <w:pPr>
        <w:spacing w:after="0" w:line="179" w:lineRule="exact"/>
        <w:rPr>
          <w:sz w:val="20"/>
          <w:szCs w:val="20"/>
          <w:color w:val="auto"/>
        </w:rPr>
      </w:pPr>
    </w:p>
    <w:p>
      <w:pPr>
        <w:ind w:left="160" w:right="219" w:firstLine="784"/>
        <w:spacing w:after="0" w:line="259" w:lineRule="auto"/>
        <w:tabs>
          <w:tab w:leader="none" w:pos="1134"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will keep, at an office or agency to be maintained by it in a Place of Payment where Securities may be presented for registration or presented and surrendered for registration of transfer or of exchange, and where Securities of any series that are convertible or exchangeable may be surrendered for conversion or exchange, as applicable (the “Registrar”), a security register for the registration and the registration of transfer or of exchange of the Securities (the registers maintained in such office and in any other office or agency of the Company in a Place of Payment being herein sometimes collectively referred to as the “Register”), as in this Indenture provided, which Register shall at all reasonable times be open for inspection by the Trustee. Such Register shall be in written form or in any other form capable of being converted into written form within a reasonable time. The Company may have one or more co-Registrars; the term “Registrar” includes any co-registrar.</w:t>
      </w:r>
    </w:p>
    <w:p>
      <w:pPr>
        <w:spacing w:after="0" w:line="145" w:lineRule="exact"/>
        <w:rPr>
          <w:rFonts w:ascii="Times New Roman" w:cs="Times New Roman" w:eastAsia="Times New Roman" w:hAnsi="Times New Roman"/>
          <w:sz w:val="14"/>
          <w:szCs w:val="14"/>
          <w:color w:val="auto"/>
        </w:rPr>
      </w:pPr>
    </w:p>
    <w:p>
      <w:pPr>
        <w:ind w:left="160" w:right="359" w:firstLine="784"/>
        <w:spacing w:after="0" w:line="265" w:lineRule="auto"/>
        <w:tabs>
          <w:tab w:leader="none" w:pos="1142"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shall enter into an appropriate agency agreement with any Registrar or co-Registrar not a party to this Indenture. The agreement shall implement the provisions of this Indenture that relate to such agent. The Company shall notify the Trustee of the name and address of each such agent. If the Company fails to maintain a Registrar for any series, the Trustee shall act as such and shall be entitled to appropriate compensation therefor pursuant to Section 11.01. The Company or any Affiliate thereof may act as Registrar, co-Registrar or transfer agent.</w:t>
      </w:r>
    </w:p>
    <w:p>
      <w:pPr>
        <w:spacing w:after="0" w:line="140" w:lineRule="exact"/>
        <w:rPr>
          <w:rFonts w:ascii="Times New Roman" w:cs="Times New Roman" w:eastAsia="Times New Roman" w:hAnsi="Times New Roman"/>
          <w:sz w:val="14"/>
          <w:szCs w:val="14"/>
          <w:color w:val="auto"/>
        </w:rPr>
      </w:pPr>
    </w:p>
    <w:p>
      <w:pPr>
        <w:ind w:left="160" w:right="759" w:firstLine="784"/>
        <w:spacing w:after="0" w:line="288" w:lineRule="auto"/>
        <w:tabs>
          <w:tab w:leader="none" w:pos="1134"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hereby appoints the Trustee at its Corporate Trust Office as Registrar in connection with the Securities and this Indenture, until such time as another Person is appointed as such.</w:t>
      </w:r>
    </w:p>
    <w:p>
      <w:pPr>
        <w:spacing w:after="0" w:line="12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 xml:space="preserve">Section 3.06 </w:t>
      </w:r>
      <w:r>
        <w:rPr>
          <w:rFonts w:ascii="Times New Roman" w:cs="Times New Roman" w:eastAsia="Times New Roman" w:hAnsi="Times New Roman"/>
          <w:sz w:val="14"/>
          <w:szCs w:val="14"/>
          <w:u w:val="single" w:color="auto"/>
          <w:color w:val="auto"/>
        </w:rPr>
        <w:t>Transfer and Exchange</w:t>
      </w:r>
      <w:r>
        <w:rPr>
          <w:rFonts w:ascii="Times New Roman" w:cs="Times New Roman" w:eastAsia="Times New Roman" w:hAnsi="Times New Roman"/>
          <w:sz w:val="14"/>
          <w:szCs w:val="14"/>
          <w:color w:val="auto"/>
        </w:rPr>
        <w:t>.</w:t>
      </w:r>
    </w:p>
    <w:p>
      <w:pPr>
        <w:spacing w:after="0" w:line="179" w:lineRule="exact"/>
        <w:rPr>
          <w:sz w:val="20"/>
          <w:szCs w:val="20"/>
          <w:color w:val="auto"/>
        </w:rPr>
      </w:pPr>
    </w:p>
    <w:p>
      <w:pPr>
        <w:ind w:left="1140" w:hanging="196"/>
        <w:spacing w:after="0"/>
        <w:tabs>
          <w:tab w:leader="none" w:pos="114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Transfer.</w:t>
      </w:r>
    </w:p>
    <w:p>
      <w:pPr>
        <w:spacing w:after="0" w:line="94" w:lineRule="exact"/>
        <w:rPr>
          <w:rFonts w:ascii="Times New Roman" w:cs="Times New Roman" w:eastAsia="Times New Roman" w:hAnsi="Times New Roman"/>
          <w:sz w:val="14"/>
          <w:szCs w:val="14"/>
          <w:color w:val="auto"/>
        </w:rPr>
      </w:pPr>
    </w:p>
    <w:p>
      <w:pPr>
        <w:ind w:left="520" w:right="179" w:firstLine="740"/>
        <w:spacing w:after="0" w:line="262" w:lineRule="auto"/>
        <w:tabs>
          <w:tab w:leader="none" w:pos="1439" w:val="left"/>
        </w:tabs>
        <w:numPr>
          <w:ilvl w:val="1"/>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Upon surrender for registration of transfer of any Security of any series at the Registrar the Company shall execute, and the Trustee or any Authenticating Agent shall authenticate and deliver, in the name of the designated transferee, one or more new Securities of the same series for like aggregate principal amount of any authorized denomination or denominations. The transfer of any Security shall not be valid as against the Company or the Trustee unless registered at the Registrar at the request of the Holder, or at the request of his, her or its attorney duly authorized in writing.</w:t>
      </w:r>
    </w:p>
    <w:p>
      <w:pPr>
        <w:spacing w:after="0" w:line="57" w:lineRule="exact"/>
        <w:rPr>
          <w:rFonts w:ascii="Times New Roman" w:cs="Times New Roman" w:eastAsia="Times New Roman" w:hAnsi="Times New Roman"/>
          <w:sz w:val="14"/>
          <w:szCs w:val="14"/>
          <w:color w:val="auto"/>
        </w:rPr>
      </w:pPr>
    </w:p>
    <w:p>
      <w:pPr>
        <w:ind w:left="520" w:right="219" w:firstLine="740"/>
        <w:spacing w:after="0" w:line="265" w:lineRule="auto"/>
        <w:tabs>
          <w:tab w:leader="none" w:pos="1479" w:val="left"/>
        </w:tabs>
        <w:numPr>
          <w:ilvl w:val="1"/>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Notwithstanding any other provision of this Section, unless and until it is exchanged in whole or in part for the Individual Securities represented thereby, a Global Security representing all or a portion of the Securities of a series may not be transferred except as a whole by the Depositary for such series to a nominee of such Depositary or by a nominee of such Depositary to such Depositary or another nominee of such Depositary or by such Depositary or any such nominee to a successor Depositary for such series or a nominee of such successor Depositary.</w:t>
      </w:r>
    </w:p>
    <w:p>
      <w:pPr>
        <w:spacing w:after="0" w:line="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20</w:t>
      </w:r>
    </w:p>
    <w:p>
      <w:pPr>
        <w:sectPr>
          <w:pgSz w:w="11900" w:h="16838" w:orient="portrait"/>
          <w:cols w:equalWidth="0" w:num="1">
            <w:col w:w="9019"/>
          </w:cols>
          <w:pgMar w:left="1440" w:top="242" w:right="1440" w:bottom="1440" w:gutter="0" w:footer="0" w:header="0"/>
        </w:sectPr>
      </w:pPr>
    </w:p>
    <w:bookmarkStart w:id="54" w:name="page55"/>
    <w:bookmarkEnd w:id="54"/>
    <w:p>
      <w:pPr>
        <w:ind w:left="1140" w:hanging="196"/>
        <w:spacing w:after="0"/>
        <w:tabs>
          <w:tab w:leader="none" w:pos="1140" w:val="left"/>
        </w:tabs>
        <w:numPr>
          <w:ilvl w:val="1"/>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7">
                      <a:extLst>
                        <a:ext uri="{28A0092B-C50C-407E-A947-70E740481C1C}"/>
                      </a:extLst>
                    </a:blip>
                    <a:srcRect/>
                    <a:stretch>
                      <a:fillRect/>
                    </a:stretch>
                  </pic:blipFill>
                  <pic:spPr bwMode="auto">
                    <a:xfrm>
                      <a:off x="0" y="0"/>
                      <a:ext cx="7200265" cy="33020"/>
                    </a:xfrm>
                    <a:prstGeom prst="rect">
                      <a:avLst/>
                    </a:prstGeom>
                    <a:noFill/>
                  </pic:spPr>
                </pic:pic>
              </a:graphicData>
            </a:graphic>
          </wp:anchor>
        </w:drawing>
        <w:t>Exchange.</w:t>
      </w:r>
    </w:p>
    <w:p>
      <w:pPr>
        <w:spacing w:after="0" w:line="94" w:lineRule="exact"/>
        <w:rPr>
          <w:rFonts w:ascii="Times New Roman" w:cs="Times New Roman" w:eastAsia="Times New Roman" w:hAnsi="Times New Roman"/>
          <w:sz w:val="14"/>
          <w:szCs w:val="14"/>
          <w:color w:val="auto"/>
        </w:rPr>
      </w:pPr>
    </w:p>
    <w:p>
      <w:pPr>
        <w:ind w:left="520" w:right="179" w:firstLine="740"/>
        <w:spacing w:after="0" w:line="271" w:lineRule="auto"/>
        <w:tabs>
          <w:tab w:leader="none" w:pos="1439" w:val="left"/>
        </w:tabs>
        <w:numPr>
          <w:ilvl w:val="2"/>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At the option of the Holder, Securities of any series (other than a Global Security, except as set forth below) may be exchanged for other Securities of the same series for like aggregate principal amount of any authorized denomination or denominations, upon surrender of the Securities to be exchanged at the Registrar.</w:t>
      </w:r>
    </w:p>
    <w:p>
      <w:pPr>
        <w:spacing w:after="0" w:line="50" w:lineRule="exact"/>
        <w:rPr>
          <w:rFonts w:ascii="Times New Roman" w:cs="Times New Roman" w:eastAsia="Times New Roman" w:hAnsi="Times New Roman"/>
          <w:sz w:val="14"/>
          <w:szCs w:val="14"/>
          <w:color w:val="auto"/>
        </w:rPr>
      </w:pPr>
    </w:p>
    <w:p>
      <w:pPr>
        <w:ind w:left="520" w:right="339" w:firstLine="740"/>
        <w:spacing w:after="0" w:line="288" w:lineRule="auto"/>
        <w:tabs>
          <w:tab w:leader="none" w:pos="1479" w:val="left"/>
        </w:tabs>
        <w:numPr>
          <w:ilvl w:val="2"/>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Whenever any Securities are so surrendered for exchange, the Company shall execute, and the Trustee or Authenticating Agent shall authenticate and deliver, the Securities that the Holder making the exchange is entitled to receive.</w:t>
      </w:r>
    </w:p>
    <w:p>
      <w:pPr>
        <w:spacing w:after="0" w:line="124" w:lineRule="exact"/>
        <w:rPr>
          <w:rFonts w:ascii="Times New Roman" w:cs="Times New Roman" w:eastAsia="Times New Roman" w:hAnsi="Times New Roman"/>
          <w:sz w:val="14"/>
          <w:szCs w:val="14"/>
          <w:color w:val="auto"/>
        </w:rPr>
      </w:pPr>
    </w:p>
    <w:p>
      <w:pPr>
        <w:ind w:left="160" w:right="319" w:firstLine="784"/>
        <w:spacing w:after="0" w:line="288" w:lineRule="auto"/>
        <w:tabs>
          <w:tab w:leader="none" w:pos="1134" w:val="left"/>
        </w:tabs>
        <w:numPr>
          <w:ilvl w:val="1"/>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Exchange of Global Securities for Individual Securities. Except as provided below, owners of beneficial interests in Global Securities will not be entitled to receive Individual Securities.</w:t>
      </w:r>
    </w:p>
    <w:p>
      <w:pPr>
        <w:spacing w:after="0" w:line="39" w:lineRule="exact"/>
        <w:rPr>
          <w:rFonts w:ascii="Times New Roman" w:cs="Times New Roman" w:eastAsia="Times New Roman" w:hAnsi="Times New Roman"/>
          <w:sz w:val="14"/>
          <w:szCs w:val="14"/>
          <w:color w:val="auto"/>
        </w:rPr>
      </w:pPr>
    </w:p>
    <w:p>
      <w:pPr>
        <w:ind w:left="1420" w:hanging="160"/>
        <w:spacing w:after="0"/>
        <w:tabs>
          <w:tab w:leader="none" w:pos="1420" w:val="left"/>
        </w:tabs>
        <w:numPr>
          <w:ilvl w:val="2"/>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Individual Securities shall be issued to all owners of beneficial interests in a Global Security in exchange for such interests if:</w:t>
      </w:r>
    </w:p>
    <w:p>
      <w:pPr>
        <w:spacing w:after="0" w:line="23" w:lineRule="exact"/>
        <w:rPr>
          <w:rFonts w:ascii="Times New Roman" w:cs="Times New Roman" w:eastAsia="Times New Roman" w:hAnsi="Times New Roman"/>
          <w:sz w:val="14"/>
          <w:szCs w:val="14"/>
          <w:color w:val="auto"/>
        </w:rPr>
      </w:pPr>
    </w:p>
    <w:p>
      <w:pPr>
        <w:ind w:left="520" w:right="319" w:hanging="10"/>
        <w:spacing w:after="0" w:line="258" w:lineRule="auto"/>
        <w:tabs>
          <w:tab w:leader="none" w:pos="752"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at any time the Depositary for the Securities of a series notifies the Company that it is unwilling or unable to continue as Depositary for the Securities of such series or if at any time the Depositary for the Securities of such series shall no longer be eligible under Section 3.03(h) and, in each case, a successor Depositary is not appointed by the Company within 90 days of such notice, or (B) the Company executes and delivers to the Trustee and the Registrar a Company Order stating that such Global Security shall be so exchangeable.</w:t>
      </w:r>
    </w:p>
    <w:p>
      <w:pPr>
        <w:spacing w:after="0" w:line="60" w:lineRule="exact"/>
        <w:rPr>
          <w:sz w:val="20"/>
          <w:szCs w:val="20"/>
          <w:color w:val="auto"/>
        </w:rPr>
      </w:pPr>
    </w:p>
    <w:p>
      <w:pPr>
        <w:ind w:left="520" w:right="319" w:firstLine="333"/>
        <w:spacing w:after="0" w:line="262" w:lineRule="auto"/>
        <w:rPr>
          <w:sz w:val="20"/>
          <w:szCs w:val="20"/>
          <w:color w:val="auto"/>
        </w:rPr>
      </w:pPr>
      <w:r>
        <w:rPr>
          <w:rFonts w:ascii="Times New Roman" w:cs="Times New Roman" w:eastAsia="Times New Roman" w:hAnsi="Times New Roman"/>
          <w:sz w:val="14"/>
          <w:szCs w:val="14"/>
          <w:color w:val="auto"/>
        </w:rPr>
        <w:t>In connection with the exchange of an entire Global Security for Individual Securities pursuant to this subsection (c), such Global Security shall be deemed to be surrendered to the Trustee for cancellation, and the Company shall execute, and the Trustee, upon receipt of a Company Order for the authentication and delivery of Individual Securities of such series, will authenticate and deliver to each beneficial owner identified by the Depositary in exchange for its beneficial interest in such Global Security, an equal aggregate principal amount of Individual Securities of authorized denominations.</w:t>
      </w:r>
    </w:p>
    <w:p>
      <w:pPr>
        <w:spacing w:after="0" w:line="58" w:lineRule="exact"/>
        <w:rPr>
          <w:sz w:val="20"/>
          <w:szCs w:val="20"/>
          <w:color w:val="auto"/>
        </w:rPr>
      </w:pPr>
    </w:p>
    <w:p>
      <w:pPr>
        <w:ind w:left="520" w:right="199" w:firstLine="740"/>
        <w:spacing w:after="0" w:line="262" w:lineRule="auto"/>
        <w:tabs>
          <w:tab w:leader="none" w:pos="1479"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owner of a beneficial interest in a Global Security will be entitled to receive an Individual Security in exchange for such interest if an Event of Default has occurred and is continuing. Upon receipt by the Security Custodian and Registrar of instructions from the Holder of a Global Security directing the Security Custodian and Registrar to (x) issue one or more Individual Securities in the amounts specified to the owner of a beneficial interest in such Global Security and (y) debit or cause to be debited an equivalent amount of beneficial interest in such Global Security, subject to the rules and regulations of the Depositary:</w:t>
      </w:r>
    </w:p>
    <w:p>
      <w:pPr>
        <w:spacing w:after="0" w:line="57" w:lineRule="exact"/>
        <w:rPr>
          <w:rFonts w:ascii="Times New Roman" w:cs="Times New Roman" w:eastAsia="Times New Roman" w:hAnsi="Times New Roman"/>
          <w:sz w:val="14"/>
          <w:szCs w:val="14"/>
          <w:color w:val="auto"/>
        </w:rPr>
      </w:pPr>
    </w:p>
    <w:p>
      <w:pPr>
        <w:ind w:left="940" w:right="299" w:firstLine="1031"/>
        <w:spacing w:after="0" w:line="288" w:lineRule="auto"/>
        <w:tabs>
          <w:tab w:leader="none" w:pos="2199" w:val="left"/>
        </w:tabs>
        <w:numPr>
          <w:ilvl w:val="1"/>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Security Custodian and Registrar shall notify the Company and the Trustee of such instructions, identifying the owner and amount of such beneficial interest in such Global Security;</w:t>
      </w:r>
    </w:p>
    <w:p>
      <w:pPr>
        <w:spacing w:after="0" w:line="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21</w:t>
      </w:r>
    </w:p>
    <w:p>
      <w:pPr>
        <w:sectPr>
          <w:pgSz w:w="11900" w:h="16838" w:orient="portrait"/>
          <w:cols w:equalWidth="0" w:num="1">
            <w:col w:w="9019"/>
          </w:cols>
          <w:pgMar w:left="1440" w:top="242" w:right="1440" w:bottom="1440" w:gutter="0" w:footer="0" w:header="0"/>
        </w:sectPr>
      </w:pPr>
    </w:p>
    <w:bookmarkStart w:id="55" w:name="page56"/>
    <w:bookmarkEnd w:id="55"/>
    <w:p>
      <w:pPr>
        <w:ind w:left="940" w:right="359" w:firstLine="1031"/>
        <w:spacing w:after="0" w:line="271" w:lineRule="auto"/>
        <w:tabs>
          <w:tab w:leader="none" w:pos="2192" w:val="left"/>
        </w:tabs>
        <w:numPr>
          <w:ilvl w:val="1"/>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8">
                      <a:extLst>
                        <a:ext uri="{28A0092B-C50C-407E-A947-70E740481C1C}"/>
                      </a:extLst>
                    </a:blip>
                    <a:srcRect/>
                    <a:stretch>
                      <a:fillRect/>
                    </a:stretch>
                  </pic:blipFill>
                  <pic:spPr bwMode="auto">
                    <a:xfrm>
                      <a:off x="0" y="0"/>
                      <a:ext cx="7200265" cy="33020"/>
                    </a:xfrm>
                    <a:prstGeom prst="rect">
                      <a:avLst/>
                    </a:prstGeom>
                    <a:noFill/>
                  </pic:spPr>
                </pic:pic>
              </a:graphicData>
            </a:graphic>
          </wp:anchor>
        </w:drawing>
        <w:t>the Company shall promptly execute and the Trustee, upon receipt of a Company Order for the authentication and delivery of Individual Securities of such series, shall authenticate and deliver to such beneficial owner Individual Securities in an equivalent amount to such beneficial interest in such Global Security; and</w:t>
      </w:r>
    </w:p>
    <w:p>
      <w:pPr>
        <w:spacing w:after="0" w:line="50" w:lineRule="exact"/>
        <w:rPr>
          <w:rFonts w:ascii="Times New Roman" w:cs="Times New Roman" w:eastAsia="Times New Roman" w:hAnsi="Times New Roman"/>
          <w:sz w:val="14"/>
          <w:szCs w:val="14"/>
          <w:color w:val="auto"/>
        </w:rPr>
      </w:pPr>
    </w:p>
    <w:p>
      <w:pPr>
        <w:ind w:left="940" w:right="179" w:firstLine="1031"/>
        <w:spacing w:after="0" w:line="260" w:lineRule="auto"/>
        <w:tabs>
          <w:tab w:leader="none" w:pos="2192" w:val="left"/>
        </w:tabs>
        <w:numPr>
          <w:ilvl w:val="1"/>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Security Custodian and Registrar shall decrease such Global Security by such amount in accordance with the foregoing. In the event that the Individual Securities are not issued to each such beneficial owner promptly after the Registrar has received a request from the Holder of a Global Security to issue such Individual Securities, the Company expressly acknowledges, with respect to the right of any Holder to pursue a remedy pursuant to Section 7.07 hereof, the right of any beneficial Holder of Securities to pursue such remedy with respect to the portion of the Global Security that represents such beneficial Holder’s Securities as if such Individual Securities had been issued.</w:t>
      </w:r>
    </w:p>
    <w:p>
      <w:pPr>
        <w:spacing w:after="0" w:line="60" w:lineRule="exact"/>
        <w:rPr>
          <w:rFonts w:ascii="Times New Roman" w:cs="Times New Roman" w:eastAsia="Times New Roman" w:hAnsi="Times New Roman"/>
          <w:sz w:val="14"/>
          <w:szCs w:val="14"/>
          <w:color w:val="auto"/>
        </w:rPr>
      </w:pPr>
    </w:p>
    <w:p>
      <w:pPr>
        <w:ind w:left="520" w:right="279" w:firstLine="740"/>
        <w:spacing w:after="0" w:line="265" w:lineRule="auto"/>
        <w:tabs>
          <w:tab w:leader="none" w:pos="1518"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specified by the Company pursuant to Section 3.01 with respect to a series of Securities, the Depositary for such series of Securities may surrender a Global Security for such series of Securities in exchange in whole or in part for Individual Securities of such series on such terms as are acceptable to the Company and such Depositary. Thereupon, the Company shall execute, and the Trustee shall authenticate and deliver, without service charge,</w:t>
      </w:r>
    </w:p>
    <w:p>
      <w:pPr>
        <w:spacing w:after="0" w:line="55" w:lineRule="exact"/>
        <w:rPr>
          <w:rFonts w:ascii="Times New Roman" w:cs="Times New Roman" w:eastAsia="Times New Roman" w:hAnsi="Times New Roman"/>
          <w:sz w:val="14"/>
          <w:szCs w:val="14"/>
          <w:color w:val="auto"/>
        </w:rPr>
      </w:pPr>
    </w:p>
    <w:p>
      <w:pPr>
        <w:ind w:left="940" w:right="479" w:firstLine="1031"/>
        <w:spacing w:after="0" w:line="271" w:lineRule="auto"/>
        <w:tabs>
          <w:tab w:leader="none" w:pos="2199" w:val="left"/>
        </w:tabs>
        <w:numPr>
          <w:ilvl w:val="1"/>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each Person specified by such Depositary a new Individual Security or new Individual Securities of the same series, of any authorized denomination as requested by such Person in aggregate principal amount equal to and in exchange for such Person’s beneficial interest in the Global Security; and</w:t>
      </w:r>
    </w:p>
    <w:p>
      <w:pPr>
        <w:spacing w:after="0" w:line="50" w:lineRule="exact"/>
        <w:rPr>
          <w:rFonts w:ascii="Times New Roman" w:cs="Times New Roman" w:eastAsia="Times New Roman" w:hAnsi="Times New Roman"/>
          <w:sz w:val="14"/>
          <w:szCs w:val="14"/>
          <w:color w:val="auto"/>
        </w:rPr>
      </w:pPr>
    </w:p>
    <w:p>
      <w:pPr>
        <w:ind w:left="940" w:right="419" w:firstLine="1031"/>
        <w:spacing w:after="0" w:line="288" w:lineRule="auto"/>
        <w:tabs>
          <w:tab w:leader="none" w:pos="2192" w:val="left"/>
        </w:tabs>
        <w:numPr>
          <w:ilvl w:val="1"/>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such Depositary a new Global Security in a denomination equal to the difference, if any, between the principal amount of the surrendered Global Security and the aggregate principal amount of Individual Securities delivered to Holders thereof.</w:t>
      </w:r>
    </w:p>
    <w:p>
      <w:pPr>
        <w:spacing w:after="0" w:line="39" w:lineRule="exact"/>
        <w:rPr>
          <w:rFonts w:ascii="Times New Roman" w:cs="Times New Roman" w:eastAsia="Times New Roman" w:hAnsi="Times New Roman"/>
          <w:sz w:val="14"/>
          <w:szCs w:val="14"/>
          <w:color w:val="auto"/>
        </w:rPr>
      </w:pPr>
    </w:p>
    <w:p>
      <w:pPr>
        <w:ind w:left="520" w:right="259" w:firstLine="740"/>
        <w:spacing w:after="0" w:line="288" w:lineRule="auto"/>
        <w:tabs>
          <w:tab w:leader="none" w:pos="1510"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any exchange provided for in clauses (i) through (iii), the Company will execute and the Trustee will authenticate and deliver Individual Securities in registered form in authorized denominations.</w:t>
      </w:r>
    </w:p>
    <w:p>
      <w:pPr>
        <w:spacing w:after="0" w:line="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22</w:t>
      </w:r>
    </w:p>
    <w:p>
      <w:pPr>
        <w:sectPr>
          <w:pgSz w:w="11900" w:h="16838" w:orient="portrait"/>
          <w:cols w:equalWidth="0" w:num="1">
            <w:col w:w="9019"/>
          </w:cols>
          <w:pgMar w:left="1440" w:top="242" w:right="1440" w:bottom="1440" w:gutter="0" w:footer="0" w:header="0"/>
        </w:sectPr>
      </w:pPr>
    </w:p>
    <w:bookmarkStart w:id="56" w:name="page57"/>
    <w:bookmarkEnd w:id="56"/>
    <w:p>
      <w:pPr>
        <w:ind w:left="520" w:right="339" w:firstLine="740"/>
        <w:spacing w:after="0" w:line="265" w:lineRule="auto"/>
        <w:tabs>
          <w:tab w:leader="none" w:pos="1471" w:val="left"/>
        </w:tabs>
        <w:numPr>
          <w:ilvl w:val="1"/>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9">
                      <a:extLst>
                        <a:ext uri="{28A0092B-C50C-407E-A947-70E740481C1C}"/>
                      </a:extLst>
                    </a:blip>
                    <a:srcRect/>
                    <a:stretch>
                      <a:fillRect/>
                    </a:stretch>
                  </pic:blipFill>
                  <pic:spPr bwMode="auto">
                    <a:xfrm>
                      <a:off x="0" y="0"/>
                      <a:ext cx="7200265" cy="33020"/>
                    </a:xfrm>
                    <a:prstGeom prst="rect">
                      <a:avLst/>
                    </a:prstGeom>
                    <a:noFill/>
                  </pic:spPr>
                </pic:pic>
              </a:graphicData>
            </a:graphic>
          </wp:anchor>
        </w:drawing>
        <w:t>Upon the exchange in full of a Global Security for Individual Securities, such Global Security shall be canceled by the Trustee. Individual Securities issued in exchange for a Global Security pursuant to this Section shall be registered in such names and in such authorized denominations as the Depositary for such Global Security, pursuant to instructions from its direct or indirect participants or otherwise, shall instruct the Trustee. The Trustee shall deliver such Securities to the Persons in whose names such Securities are so registered.</w:t>
      </w:r>
    </w:p>
    <w:p>
      <w:pPr>
        <w:spacing w:after="0" w:line="140" w:lineRule="exact"/>
        <w:rPr>
          <w:rFonts w:ascii="Times New Roman" w:cs="Times New Roman" w:eastAsia="Times New Roman" w:hAnsi="Times New Roman"/>
          <w:sz w:val="14"/>
          <w:szCs w:val="14"/>
          <w:color w:val="auto"/>
        </w:rPr>
      </w:pPr>
    </w:p>
    <w:p>
      <w:pPr>
        <w:ind w:left="160" w:right="299" w:firstLine="784"/>
        <w:spacing w:after="0" w:line="288" w:lineRule="auto"/>
        <w:tabs>
          <w:tab w:leader="none" w:pos="1142"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Securities issued upon any registration of transfer or exchange of Securities shall be valid obligations of the Company evidencing the same debt, and entitled to the same benefits under this Indenture, as the Securities surrendered for such registration of transfer or exchange.</w:t>
      </w:r>
    </w:p>
    <w:p>
      <w:pPr>
        <w:spacing w:after="0" w:line="124" w:lineRule="exact"/>
        <w:rPr>
          <w:rFonts w:ascii="Times New Roman" w:cs="Times New Roman" w:eastAsia="Times New Roman" w:hAnsi="Times New Roman"/>
          <w:sz w:val="14"/>
          <w:szCs w:val="14"/>
          <w:color w:val="auto"/>
        </w:rPr>
      </w:pPr>
    </w:p>
    <w:p>
      <w:pPr>
        <w:ind w:left="160" w:right="179" w:firstLine="784"/>
        <w:spacing w:after="0" w:line="271" w:lineRule="auto"/>
        <w:tabs>
          <w:tab w:leader="none" w:pos="1134"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Every Security presented or surrendered for registration of transfer, or for exchange or payment shall (if so required by the Company, the Trustee or the Registrar) be duly endorsed, or be accompanied by a written instrument or instruments of transfer in form satisfactory to the Company, the Trustee and the Registrar, duly executed by the Holder thereof or by his, her or its attorney duly authorized in writing.</w:t>
      </w:r>
    </w:p>
    <w:p>
      <w:pPr>
        <w:spacing w:after="0" w:line="135" w:lineRule="exact"/>
        <w:rPr>
          <w:rFonts w:ascii="Times New Roman" w:cs="Times New Roman" w:eastAsia="Times New Roman" w:hAnsi="Times New Roman"/>
          <w:sz w:val="14"/>
          <w:szCs w:val="14"/>
          <w:color w:val="auto"/>
        </w:rPr>
      </w:pPr>
    </w:p>
    <w:p>
      <w:pPr>
        <w:ind w:left="160" w:right="319" w:firstLine="784"/>
        <w:spacing w:after="0" w:line="265" w:lineRule="auto"/>
        <w:tabs>
          <w:tab w:leader="none" w:pos="1118"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 service charge will be made for any registration of transfer or exchange of Securities. The Company or the Trustee may require payment of a sum sufficient to cover any tax, assessment or other governmental charge that may be imposed in connection with any registration of transfer or exchange of Securities, other than those expressly provided in this Indenture to be made at the Company’s own expense or without expense or charge to the Holders.</w:t>
      </w:r>
    </w:p>
    <w:p>
      <w:pPr>
        <w:spacing w:after="0" w:line="140" w:lineRule="exact"/>
        <w:rPr>
          <w:rFonts w:ascii="Times New Roman" w:cs="Times New Roman" w:eastAsia="Times New Roman" w:hAnsi="Times New Roman"/>
          <w:sz w:val="14"/>
          <w:szCs w:val="14"/>
          <w:color w:val="auto"/>
        </w:rPr>
      </w:pPr>
    </w:p>
    <w:p>
      <w:pPr>
        <w:ind w:left="160" w:right="179" w:firstLine="784"/>
        <w:spacing w:after="0" w:line="265" w:lineRule="auto"/>
        <w:tabs>
          <w:tab w:leader="none" w:pos="1142"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shall not be required to (i) register, transfer or exchange Securities of any series during a period beginning at the opening of business 15 days before the day of the transmission of a notice of redemption of Securities of such series selected for redemption under Section 4.02 and ending at the close of business on the day of such transmission, or (ii) register, transfer or exchange any Security so selected for redemption in whole or in part, except the unredeemed portion of any Security being redeemed in part.</w:t>
      </w:r>
    </w:p>
    <w:p>
      <w:pPr>
        <w:spacing w:after="0" w:line="140" w:lineRule="exact"/>
        <w:rPr>
          <w:rFonts w:ascii="Times New Roman" w:cs="Times New Roman" w:eastAsia="Times New Roman" w:hAnsi="Times New Roman"/>
          <w:sz w:val="14"/>
          <w:szCs w:val="14"/>
          <w:color w:val="auto"/>
        </w:rPr>
      </w:pPr>
    </w:p>
    <w:p>
      <w:pPr>
        <w:ind w:left="160" w:right="179" w:firstLine="784"/>
        <w:spacing w:after="0" w:line="258" w:lineRule="auto"/>
        <w:tabs>
          <w:tab w:leader="none" w:pos="1142"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case a successor Company (“Successor Company”) has executed an indenture supplemental hereto with the Trustee pursuant to Section 6.04, any of the Securities previously authenticated or delivered may, from time to time, at the request of the Successor Company, be exchanged for other Securities executed in the name of the Successor Company with such changes in phraseology and form as may be appropriate, but otherwise identical to the Securities surrendered for such exchange and of like principal amount; and the Trustee, upon Company Order of the Successor Company, shall authenticate and deliver Securities as specified in such order for the purpose of such exchange. If Securities shall at any time be authenticated and delivered in any new name of a Successor Company pursuant to this Section 3.06 in exchange or substitution for or upon registration of transfer of any Securities, such Successor Company, at the option of the Holders but without expense to them, shall provide for the exchange of all Securities at the time Outstanding for Securities authenticated and delivered in such new name.</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23</w:t>
      </w:r>
    </w:p>
    <w:p>
      <w:pPr>
        <w:sectPr>
          <w:pgSz w:w="11900" w:h="16838" w:orient="portrait"/>
          <w:cols w:equalWidth="0" w:num="1">
            <w:col w:w="9019"/>
          </w:cols>
          <w:pgMar w:left="1440" w:top="242" w:right="1440" w:bottom="1440" w:gutter="0" w:footer="0" w:header="0"/>
        </w:sectPr>
      </w:pPr>
    </w:p>
    <w:bookmarkStart w:id="57" w:name="page58"/>
    <w:bookmarkEnd w:id="57"/>
    <w:p>
      <w:pPr>
        <w:jc w:val="both"/>
        <w:ind w:left="160" w:right="199" w:firstLine="784"/>
        <w:spacing w:after="0" w:line="265" w:lineRule="auto"/>
        <w:tabs>
          <w:tab w:leader="none" w:pos="1111"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0">
                      <a:extLst>
                        <a:ext uri="{28A0092B-C50C-407E-A947-70E740481C1C}"/>
                      </a:extLst>
                    </a:blip>
                    <a:srcRect/>
                    <a:stretch>
                      <a:fillRect/>
                    </a:stretch>
                  </pic:blipFill>
                  <pic:spPr bwMode="auto">
                    <a:xfrm>
                      <a:off x="0" y="0"/>
                      <a:ext cx="7200265" cy="33020"/>
                    </a:xfrm>
                    <a:prstGeom prst="rect">
                      <a:avLst/>
                    </a:prstGeom>
                    <a:noFill/>
                  </pic:spPr>
                </pic:pic>
              </a:graphicData>
            </a:graphic>
          </wp:anchor>
        </w:drawing>
        <w:t>The Trustee shall have no obligation or duty to monitor, determine or inquire as to compliance with any restrictions on transfer imposed under this Indenture or under applicable law with respect to any transfer of any interest in any Security other than to require delivery of such certificates and other documentation or evidence as are expressly required by, and to do so if and when expressly required by the terms of, this Indenture, and to examine the same to determine substantial compliance as to form with the express requirements hereof.</w:t>
      </w:r>
    </w:p>
    <w:p>
      <w:pPr>
        <w:spacing w:after="0" w:line="140" w:lineRule="exact"/>
        <w:rPr>
          <w:rFonts w:ascii="Times New Roman" w:cs="Times New Roman" w:eastAsia="Times New Roman" w:hAnsi="Times New Roman"/>
          <w:sz w:val="14"/>
          <w:szCs w:val="14"/>
          <w:color w:val="auto"/>
        </w:rPr>
      </w:pPr>
    </w:p>
    <w:p>
      <w:pPr>
        <w:ind w:left="1120" w:hanging="176"/>
        <w:spacing w:after="0"/>
        <w:tabs>
          <w:tab w:leader="none" w:pos="1120"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Neither the Trustee nor any agent of the Trustee shall have any responsibility for any actions taken or not taken by the Depositary.</w:t>
      </w:r>
    </w:p>
    <w:p>
      <w:pPr>
        <w:spacing w:after="0" w:line="179" w:lineRule="exact"/>
        <w:rPr>
          <w:rFonts w:ascii="Times New Roman" w:cs="Times New Roman" w:eastAsia="Times New Roman" w:hAnsi="Times New Roman"/>
          <w:sz w:val="14"/>
          <w:szCs w:val="14"/>
          <w:color w:val="auto"/>
        </w:rPr>
      </w:pPr>
    </w:p>
    <w:p>
      <w:pPr>
        <w:ind w:left="160" w:right="179" w:firstLine="784"/>
        <w:spacing w:after="0" w:line="265" w:lineRule="auto"/>
        <w:tabs>
          <w:tab w:leader="none" w:pos="1142"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Prior to the due presentation for registration of transfer or exchange of any Security, the Company, the Trustee, the Paying Agent, the Registrar or any of their agents may deem and treat the Person in whose name a Security is registered as the absolute owner of such Security (whether or not such Security shall be overdue and notwithstanding any notation of ownership or other writing thereon) for all purposes whatsoever, and none of the Company, the Trustee, the Paying Agent, the Registrar or any of their agents shall be affected by any notice to the contrary.</w:t>
      </w:r>
    </w:p>
    <w:p>
      <w:pPr>
        <w:spacing w:after="0" w:line="140" w:lineRule="exact"/>
        <w:rPr>
          <w:rFonts w:ascii="Times New Roman" w:cs="Times New Roman" w:eastAsia="Times New Roman" w:hAnsi="Times New Roman"/>
          <w:sz w:val="14"/>
          <w:szCs w:val="14"/>
          <w:color w:val="auto"/>
        </w:rPr>
      </w:pPr>
    </w:p>
    <w:p>
      <w:pPr>
        <w:ind w:left="160" w:right="179" w:firstLine="784"/>
        <w:spacing w:after="0" w:line="258" w:lineRule="auto"/>
        <w:tabs>
          <w:tab w:leader="none" w:pos="1111"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Trustee shall have no responsibility or obligation to any beneficial owner of a Global Security, a member of, or a participant in, the Depositary or other Person with respect to the accuracy of the records of the Depositary or its nominee or of any participant or member thereof, with respect to any ownership interest in the Securities or with respect to the delivery to any participant, member, beneficial owner or other Person (other than the Depositary) of any notice (including any notice of redemption or purchase) or the payment of any amount or delivery of any Securities (or other security or property) under or with respect to such Securities. All notices and communications to be given to the Holders and all payments to be made to Holders in respect of the Securities shall be given or made only to or upon the order of the registered Holders (which shall be the Depositary or its nominee in the case of a Global Security). The rights of beneficial owners in any Global Security shall be exercised only through the Depositary subject to the applicable rules and procedures of the Depositary. The Trustee may rely and shall be fully protected in relying upon information furnished by the Depositary with respect to its members, participants and any beneficial owners.</w:t>
      </w:r>
    </w:p>
    <w:p>
      <w:pPr>
        <w:spacing w:after="0" w:line="14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 xml:space="preserve">Section 3.07 </w:t>
      </w:r>
      <w:r>
        <w:rPr>
          <w:rFonts w:ascii="Times New Roman" w:cs="Times New Roman" w:eastAsia="Times New Roman" w:hAnsi="Times New Roman"/>
          <w:sz w:val="14"/>
          <w:szCs w:val="14"/>
          <w:u w:val="single" w:color="auto"/>
          <w:color w:val="auto"/>
        </w:rPr>
        <w:t>Mutilated, Destroyed, Lost and Stolen Securities</w:t>
      </w:r>
      <w:r>
        <w:rPr>
          <w:rFonts w:ascii="Times New Roman" w:cs="Times New Roman" w:eastAsia="Times New Roman" w:hAnsi="Times New Roman"/>
          <w:sz w:val="14"/>
          <w:szCs w:val="14"/>
          <w:color w:val="auto"/>
        </w:rPr>
        <w:t>.</w:t>
      </w:r>
    </w:p>
    <w:p>
      <w:pPr>
        <w:spacing w:after="0" w:line="179" w:lineRule="exact"/>
        <w:rPr>
          <w:sz w:val="20"/>
          <w:szCs w:val="20"/>
          <w:color w:val="auto"/>
        </w:rPr>
      </w:pPr>
    </w:p>
    <w:p>
      <w:pPr>
        <w:ind w:left="160" w:right="179" w:firstLine="784"/>
        <w:spacing w:after="0" w:line="260" w:lineRule="auto"/>
        <w:tabs>
          <w:tab w:leader="none" w:pos="1134"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(i) any mutilated Security is surrendered to the Trustee at its Corporate Trust Office or (ii) the Company and the Trustee receive evidence to their satisfaction of the destruction, loss or theft of any Security, and there is delivered to the Company and the Trustee security or indemnity satisfactory to them to save each of them and any Paying Agent harmless, and neither the Company nor the Trustee receives notice that such Security has been acquired by a protected purchaser, then the Company shall execute and upon Company Order the Trustee shall authenticate and deliver, in exchange for or in lieu of any such mutilated, destroyed, lost or stolen Security, a new Security of the same series and of like tenor, form, terms and principal amount, bearing a number not contemporaneously outstanding, such that neither gain nor loss in interest shall result from such exchange or substitution.</w:t>
      </w:r>
    </w:p>
    <w:p>
      <w:pPr>
        <w:spacing w:after="0" w:line="2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24</w:t>
      </w:r>
    </w:p>
    <w:p>
      <w:pPr>
        <w:sectPr>
          <w:pgSz w:w="11900" w:h="16838" w:orient="portrait"/>
          <w:cols w:equalWidth="0" w:num="1">
            <w:col w:w="9019"/>
          </w:cols>
          <w:pgMar w:left="1440" w:top="242" w:right="1440" w:bottom="1440" w:gutter="0" w:footer="0" w:header="0"/>
        </w:sectPr>
      </w:pPr>
    </w:p>
    <w:bookmarkStart w:id="58" w:name="page59"/>
    <w:bookmarkEnd w:id="58"/>
    <w:p>
      <w:pPr>
        <w:ind w:left="160" w:right="379" w:firstLine="784"/>
        <w:spacing w:after="0" w:line="288" w:lineRule="auto"/>
        <w:tabs>
          <w:tab w:leader="none" w:pos="1142"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1">
                      <a:extLst>
                        <a:ext uri="{28A0092B-C50C-407E-A947-70E740481C1C}"/>
                      </a:extLst>
                    </a:blip>
                    <a:srcRect/>
                    <a:stretch>
                      <a:fillRect/>
                    </a:stretch>
                  </pic:blipFill>
                  <pic:spPr bwMode="auto">
                    <a:xfrm>
                      <a:off x="0" y="0"/>
                      <a:ext cx="7200265" cy="33020"/>
                    </a:xfrm>
                    <a:prstGeom prst="rect">
                      <a:avLst/>
                    </a:prstGeom>
                    <a:noFill/>
                  </pic:spPr>
                </pic:pic>
              </a:graphicData>
            </a:graphic>
          </wp:anchor>
        </w:drawing>
        <w:t>In case any such mutilated, destroyed, lost or stolen Security has become or is about to become due and payable, the Company in its discretion may, instead of issuing a new Security, pay the amount due on such Security in accordance with its terms.</w:t>
      </w:r>
    </w:p>
    <w:p>
      <w:pPr>
        <w:spacing w:after="0" w:line="124" w:lineRule="exact"/>
        <w:rPr>
          <w:rFonts w:ascii="Times New Roman" w:cs="Times New Roman" w:eastAsia="Times New Roman" w:hAnsi="Times New Roman"/>
          <w:sz w:val="14"/>
          <w:szCs w:val="14"/>
          <w:color w:val="auto"/>
        </w:rPr>
      </w:pPr>
    </w:p>
    <w:p>
      <w:pPr>
        <w:jc w:val="both"/>
        <w:ind w:left="160" w:right="259" w:firstLine="784"/>
        <w:spacing w:after="0" w:line="271" w:lineRule="auto"/>
        <w:tabs>
          <w:tab w:leader="none" w:pos="1134"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Upon the issuance of any new Security under this Section, the Company may require the payment of a sum sufficient to cover any tax or other governmental charge that may be imposed in respect thereto and any other expenses (including the fees and expenses of the Trustee) connected therewith.</w:t>
      </w:r>
    </w:p>
    <w:p>
      <w:pPr>
        <w:spacing w:after="0" w:line="135" w:lineRule="exact"/>
        <w:rPr>
          <w:rFonts w:ascii="Times New Roman" w:cs="Times New Roman" w:eastAsia="Times New Roman" w:hAnsi="Times New Roman"/>
          <w:sz w:val="14"/>
          <w:szCs w:val="14"/>
          <w:color w:val="auto"/>
        </w:rPr>
      </w:pPr>
    </w:p>
    <w:p>
      <w:pPr>
        <w:ind w:left="160" w:right="239" w:firstLine="784"/>
        <w:spacing w:after="0" w:line="271" w:lineRule="auto"/>
        <w:tabs>
          <w:tab w:leader="none" w:pos="1142"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Every new Security of any series issued pursuant to this Section shall constitute an original additional contractual obligation of the Company, whether or not the destroyed, lost or stolen Security shall be at any time enforceable by anyone, and shall be entitled to all the benefits of this Indenture equally and proportionately with any and all other Securities of that series duly issued hereunder.</w:t>
      </w:r>
    </w:p>
    <w:p>
      <w:pPr>
        <w:spacing w:after="0" w:line="135" w:lineRule="exact"/>
        <w:rPr>
          <w:rFonts w:ascii="Times New Roman" w:cs="Times New Roman" w:eastAsia="Times New Roman" w:hAnsi="Times New Roman"/>
          <w:sz w:val="14"/>
          <w:szCs w:val="14"/>
          <w:color w:val="auto"/>
        </w:rPr>
      </w:pPr>
    </w:p>
    <w:p>
      <w:pPr>
        <w:ind w:left="160" w:right="379" w:firstLine="784"/>
        <w:spacing w:after="0" w:line="288" w:lineRule="auto"/>
        <w:tabs>
          <w:tab w:leader="none" w:pos="1134"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provisions of this Section are exclusive and shall preclude (to the extent lawful) all other rights and remedies with respect to the replacement or payment of mutilated, destroyed, lost or stolen Securities.</w:t>
      </w:r>
    </w:p>
    <w:p>
      <w:pPr>
        <w:spacing w:after="0" w:line="12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 xml:space="preserve">Section 3.08 </w:t>
      </w:r>
      <w:r>
        <w:rPr>
          <w:rFonts w:ascii="Times New Roman" w:cs="Times New Roman" w:eastAsia="Times New Roman" w:hAnsi="Times New Roman"/>
          <w:sz w:val="14"/>
          <w:szCs w:val="14"/>
          <w:u w:val="single" w:color="auto"/>
          <w:color w:val="auto"/>
        </w:rPr>
        <w:t>Payment of Interest; Interest Rights Preserved</w:t>
      </w:r>
      <w:r>
        <w:rPr>
          <w:rFonts w:ascii="Times New Roman" w:cs="Times New Roman" w:eastAsia="Times New Roman" w:hAnsi="Times New Roman"/>
          <w:sz w:val="14"/>
          <w:szCs w:val="14"/>
          <w:color w:val="auto"/>
        </w:rPr>
        <w:t>.</w:t>
      </w:r>
    </w:p>
    <w:p>
      <w:pPr>
        <w:spacing w:after="0" w:line="179" w:lineRule="exact"/>
        <w:rPr>
          <w:sz w:val="20"/>
          <w:szCs w:val="20"/>
          <w:color w:val="auto"/>
        </w:rPr>
      </w:pPr>
    </w:p>
    <w:p>
      <w:pPr>
        <w:ind w:left="160" w:right="179" w:firstLine="784"/>
        <w:spacing w:after="0" w:line="260" w:lineRule="auto"/>
        <w:tabs>
          <w:tab w:leader="none" w:pos="1134"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Interest on any Security that is payable and is punctually paid or duly provided for on any Interest Payment Date shall be paid to the Person in whose name such Security (or one or more Predecessor Securities) is registered at the close of business on the Record Date for such interest notwithstanding the cancellation of such Security upon any transfer or exchange subsequent to the Record Date. Payment of interest on Securities shall be made at the Corporate Trust Office (except as otherwise specified pursuant to Section 3.01) or, at the option of the Company, by check mailed to the address of the Person entitled thereto as such address shall appear in the Register or, in accordance with arrangements satisfactory to the Trustee, by wire transfer to an account designated by the Holder.</w:t>
      </w:r>
    </w:p>
    <w:p>
      <w:pPr>
        <w:spacing w:after="0" w:line="145" w:lineRule="exact"/>
        <w:rPr>
          <w:rFonts w:ascii="Times New Roman" w:cs="Times New Roman" w:eastAsia="Times New Roman" w:hAnsi="Times New Roman"/>
          <w:sz w:val="14"/>
          <w:szCs w:val="14"/>
          <w:color w:val="auto"/>
        </w:rPr>
      </w:pPr>
    </w:p>
    <w:p>
      <w:pPr>
        <w:jc w:val="both"/>
        <w:ind w:left="160" w:right="199" w:firstLine="784"/>
        <w:spacing w:after="0" w:line="271" w:lineRule="auto"/>
        <w:tabs>
          <w:tab w:leader="none" w:pos="1142"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interest on any Security that is payable but is not punctually paid or duly provided for on any Interest Payment Date (herein called “Defaulted Interest”) shall forthwith cease to be payable to the Holder on the relevant Record Date by virtue of his, her or its having been such a Holder, and such Defaulted Interest may be paid by the Company, at its election in each case, as provided in clause (i) or (ii) below:</w:t>
      </w:r>
    </w:p>
    <w:p>
      <w:pPr>
        <w:spacing w:after="0" w:line="50" w:lineRule="exact"/>
        <w:rPr>
          <w:rFonts w:ascii="Times New Roman" w:cs="Times New Roman" w:eastAsia="Times New Roman" w:hAnsi="Times New Roman"/>
          <w:sz w:val="14"/>
          <w:szCs w:val="14"/>
          <w:color w:val="auto"/>
        </w:rPr>
      </w:pPr>
    </w:p>
    <w:p>
      <w:pPr>
        <w:ind w:left="520" w:right="179" w:firstLine="740"/>
        <w:spacing w:after="0" w:line="260" w:lineRule="auto"/>
        <w:tabs>
          <w:tab w:leader="none" w:pos="1439" w:val="left"/>
        </w:tabs>
        <w:numPr>
          <w:ilvl w:val="1"/>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may elect to make payment of any Defaulted Interest to the Persons in whose names such Securities (or their respective Predecessor Securities) are registered at the close of business on a special record date for the payment of such Defaulted Interest (a “Special Record Date”), which shall be fixed in the following manner. The Company shall notify the Trustee in writing of the amount of Defaulted Interest proposed to be paid on each such Security and the date of the proposed payment, and at the same time the Company shall deposit with the Trustee an amount of money equal to the aggregate amount proposed to be paid in respect of such Defaulted Interest or shall make arrangements satisfactory to the Trustee for such deposit prior to the date of the</w:t>
      </w:r>
    </w:p>
    <w:p>
      <w:pPr>
        <w:spacing w:after="0" w:line="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25</w:t>
      </w:r>
    </w:p>
    <w:p>
      <w:pPr>
        <w:sectPr>
          <w:pgSz w:w="11900" w:h="16838" w:orient="portrait"/>
          <w:cols w:equalWidth="0" w:num="1">
            <w:col w:w="9019"/>
          </w:cols>
          <w:pgMar w:left="1440" w:top="242" w:right="1440" w:bottom="1440" w:gutter="0" w:footer="0" w:header="0"/>
        </w:sectPr>
      </w:pPr>
    </w:p>
    <w:bookmarkStart w:id="59" w:name="page60"/>
    <w:bookmarkEnd w:id="59"/>
    <w:p>
      <w:pPr>
        <w:ind w:left="520" w:right="199"/>
        <w:spacing w:after="0" w:line="258"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2">
                      <a:extLst>
                        <a:ext uri="{28A0092B-C50C-407E-A947-70E740481C1C}"/>
                      </a:extLst>
                    </a:blip>
                    <a:srcRect/>
                    <a:stretch>
                      <a:fillRect/>
                    </a:stretch>
                  </pic:blipFill>
                  <pic:spPr bwMode="auto">
                    <a:xfrm>
                      <a:off x="0" y="0"/>
                      <a:ext cx="7200265" cy="33020"/>
                    </a:xfrm>
                    <a:prstGeom prst="rect">
                      <a:avLst/>
                    </a:prstGeom>
                    <a:noFill/>
                  </pic:spPr>
                </pic:pic>
              </a:graphicData>
            </a:graphic>
          </wp:anchor>
        </w:drawing>
        <w:t>proposed payment, such money when deposited to be held in trust for the benefit of the Persons entitled to such Defaulted Interest as in this clause provided. Thereupon the Trustee shall fix a Special Record Date for the payment of such Defaulted Interest which shall be not more than 15 calendar days and not less than 10 calendar days prior to the date of the proposed payment and not less than 10 calendar days after the receipt by the Trustee of the notice of the proposed payment. The Trustee shall promptly notify the Company of such Special Record Date and, in the name and at the expense of the Company, shall cause notice of the proposed payment of such Defaulted Interest and the Special Record Date therefor to be mailed, first-class postage prepaid, to the Holders of such Securities at their addresses as they appear in the Register, not less than 10 calendar days prior to such Special Record Date. Notice of the proposed payment of such Defaulted Interest and the Special Record Date therefor having been mailed as aforesaid, such Defaulted Interest shall be paid to the Persons in whose names such Securities (or their respective Predecessor Securities) are registered at the close of business on such Special Record Date and shall no longer be payable pursuant to the following clause (ii).</w:t>
      </w:r>
    </w:p>
    <w:p>
      <w:pPr>
        <w:spacing w:after="0" w:line="60" w:lineRule="exact"/>
        <w:rPr>
          <w:sz w:val="20"/>
          <w:szCs w:val="20"/>
          <w:color w:val="auto"/>
        </w:rPr>
      </w:pPr>
    </w:p>
    <w:p>
      <w:pPr>
        <w:jc w:val="both"/>
        <w:ind w:left="520" w:right="379" w:firstLine="740"/>
        <w:spacing w:after="0" w:line="265" w:lineRule="auto"/>
        <w:tabs>
          <w:tab w:leader="none" w:pos="1479" w:val="left"/>
        </w:tabs>
        <w:numPr>
          <w:ilvl w:val="1"/>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may make payment of any Defaulted Interest on Securities in any other lawful manner not inconsistent with the requirements of any securities exchange on which such Securities may be listed, and upon such notice as may be required by such exchange, if, after notice given by the Company to the Trustee of the proposed payment pursuant to this clause, such manner of payment shall be deemed practicable by the Trustee in its sole discretion.</w:t>
      </w:r>
    </w:p>
    <w:p>
      <w:pPr>
        <w:spacing w:after="0" w:line="140" w:lineRule="exact"/>
        <w:rPr>
          <w:rFonts w:ascii="Times New Roman" w:cs="Times New Roman" w:eastAsia="Times New Roman" w:hAnsi="Times New Roman"/>
          <w:sz w:val="14"/>
          <w:szCs w:val="14"/>
          <w:color w:val="auto"/>
        </w:rPr>
      </w:pPr>
    </w:p>
    <w:p>
      <w:pPr>
        <w:ind w:left="160" w:right="299" w:firstLine="784"/>
        <w:spacing w:after="0" w:line="271" w:lineRule="auto"/>
        <w:tabs>
          <w:tab w:leader="none" w:pos="1134" w:val="left"/>
        </w:tabs>
        <w:numPr>
          <w:ilvl w:val="0"/>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Subject to the provisions set forth herein relating to Record Dates, each Security delivered pursuant to any provision of this Indenture in exchange or substitution for, or upon registration of transfer of, any other Security shall carry all the rights to interest accrued and unpaid, and to accrue, which were carried by such other Security.</w:t>
      </w:r>
    </w:p>
    <w:p>
      <w:pPr>
        <w:spacing w:after="0" w:line="136" w:lineRule="exact"/>
        <w:rPr>
          <w:sz w:val="20"/>
          <w:szCs w:val="20"/>
          <w:color w:val="auto"/>
        </w:rPr>
      </w:pPr>
    </w:p>
    <w:p>
      <w:pPr>
        <w:ind w:left="160" w:right="199" w:firstLine="347"/>
        <w:spacing w:after="0" w:line="258" w:lineRule="auto"/>
        <w:rPr>
          <w:sz w:val="20"/>
          <w:szCs w:val="20"/>
          <w:color w:val="auto"/>
        </w:rPr>
      </w:pPr>
      <w:r>
        <w:rPr>
          <w:rFonts w:ascii="Times New Roman" w:cs="Times New Roman" w:eastAsia="Times New Roman" w:hAnsi="Times New Roman"/>
          <w:sz w:val="14"/>
          <w:szCs w:val="14"/>
          <w:color w:val="auto"/>
        </w:rPr>
        <w:t xml:space="preserve">Section 3.09 </w:t>
      </w:r>
      <w:r>
        <w:rPr>
          <w:rFonts w:ascii="Times New Roman" w:cs="Times New Roman" w:eastAsia="Times New Roman" w:hAnsi="Times New Roman"/>
          <w:sz w:val="14"/>
          <w:szCs w:val="14"/>
          <w:u w:val="single" w:color="auto"/>
          <w:color w:val="auto"/>
        </w:rPr>
        <w:t>Cancellation</w:t>
      </w:r>
      <w:r>
        <w:rPr>
          <w:rFonts w:ascii="Times New Roman" w:cs="Times New Roman" w:eastAsia="Times New Roman" w:hAnsi="Times New Roman"/>
          <w:sz w:val="14"/>
          <w:szCs w:val="14"/>
          <w:color w:val="auto"/>
        </w:rPr>
        <w:t>. Unless otherwise specified pursuant to Section 3.01 for Securities of any series, all Securities surrendered for payment, redemption, registration of transfer or exchange or credit against any sinking fund or otherwise shall, if surrendered to any Person other than the Trustee, be delivered to the Trustee for cancellation and shall be promptly canceled by it and, if surrendered to the Trustee, shall be promptly canceled by it. The Company may at any time deliver to the Trustee for cancellation any Securities previously authenticated and delivered hereunder that the Company may have acquired in any manner whatsoever, and all Securities so delivered shall be promptly canceled by the Trustee. No Securities shall be authenticated in lieu of or in exchange for any Securities canceled as provided in this Section, except as expressly permitted by this Indenture. The Trustee shall dispose of all canceled Securities held by it in accordance with its then customary procedures and deliver a certificate of such disposal to the Company upon its request therefor. The acquisition of any Securities by the Company shall not operate as a redemption or satisfaction of the Indebtedness represented thereby unless and until such Securities are surrendered to the Trustee for cancellation.</w:t>
      </w:r>
    </w:p>
    <w:p>
      <w:pPr>
        <w:spacing w:after="0" w:line="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26</w:t>
      </w:r>
    </w:p>
    <w:p>
      <w:pPr>
        <w:sectPr>
          <w:pgSz w:w="11900" w:h="16838" w:orient="portrait"/>
          <w:cols w:equalWidth="0" w:num="1">
            <w:col w:w="9019"/>
          </w:cols>
          <w:pgMar w:left="1440" w:top="242" w:right="1440" w:bottom="1440" w:gutter="0" w:footer="0" w:header="0"/>
        </w:sectPr>
      </w:pPr>
    </w:p>
    <w:bookmarkStart w:id="60" w:name="page61"/>
    <w:bookmarkEnd w:id="60"/>
    <w:p>
      <w:pPr>
        <w:ind w:left="160" w:right="219" w:firstLine="347"/>
        <w:spacing w:after="0" w:line="288"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3">
                      <a:extLst>
                        <a:ext uri="{28A0092B-C50C-407E-A947-70E740481C1C}"/>
                      </a:extLst>
                    </a:blip>
                    <a:srcRect/>
                    <a:stretch>
                      <a:fillRect/>
                    </a:stretch>
                  </pic:blipFill>
                  <pic:spPr bwMode="auto">
                    <a:xfrm>
                      <a:off x="0" y="0"/>
                      <a:ext cx="7200265" cy="33020"/>
                    </a:xfrm>
                    <a:prstGeom prst="rect">
                      <a:avLst/>
                    </a:prstGeom>
                    <a:noFill/>
                  </pic:spPr>
                </pic:pic>
              </a:graphicData>
            </a:graphic>
          </wp:anchor>
        </w:drawing>
        <w:t xml:space="preserve">Section 3.10 </w:t>
      </w:r>
      <w:r>
        <w:rPr>
          <w:rFonts w:ascii="Times New Roman" w:cs="Times New Roman" w:eastAsia="Times New Roman" w:hAnsi="Times New Roman"/>
          <w:sz w:val="14"/>
          <w:szCs w:val="14"/>
          <w:u w:val="single" w:color="auto"/>
          <w:color w:val="auto"/>
        </w:rPr>
        <w:t>Computation of Interest</w:t>
      </w:r>
      <w:r>
        <w:rPr>
          <w:rFonts w:ascii="Times New Roman" w:cs="Times New Roman" w:eastAsia="Times New Roman" w:hAnsi="Times New Roman"/>
          <w:sz w:val="14"/>
          <w:szCs w:val="14"/>
          <w:color w:val="auto"/>
        </w:rPr>
        <w:t>. Except as otherwise specified pursuant to Section 3.01 for Securities of any series, interest on the Securities of each series shall be computed on the basis of a 360-day year of twelve 30-day months.</w:t>
      </w:r>
    </w:p>
    <w:p>
      <w:pPr>
        <w:spacing w:after="0" w:line="12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 xml:space="preserve">Section 3.11 </w:t>
      </w:r>
      <w:r>
        <w:rPr>
          <w:rFonts w:ascii="Times New Roman" w:cs="Times New Roman" w:eastAsia="Times New Roman" w:hAnsi="Times New Roman"/>
          <w:sz w:val="14"/>
          <w:szCs w:val="14"/>
          <w:u w:val="single" w:color="auto"/>
          <w:color w:val="auto"/>
        </w:rPr>
        <w:t>Currency of Payments in Respect of Securities</w:t>
      </w:r>
      <w:r>
        <w:rPr>
          <w:rFonts w:ascii="Times New Roman" w:cs="Times New Roman" w:eastAsia="Times New Roman" w:hAnsi="Times New Roman"/>
          <w:sz w:val="14"/>
          <w:szCs w:val="14"/>
          <w:color w:val="auto"/>
        </w:rPr>
        <w:t>.</w:t>
      </w:r>
    </w:p>
    <w:p>
      <w:pPr>
        <w:spacing w:after="0" w:line="179" w:lineRule="exact"/>
        <w:rPr>
          <w:sz w:val="20"/>
          <w:szCs w:val="20"/>
          <w:color w:val="auto"/>
        </w:rPr>
      </w:pPr>
    </w:p>
    <w:p>
      <w:pPr>
        <w:ind w:left="160" w:right="419" w:firstLine="784"/>
        <w:spacing w:after="0" w:line="288" w:lineRule="auto"/>
        <w:tabs>
          <w:tab w:leader="none" w:pos="1134"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Except as otherwise specified pursuant to Section 3.01 for Securities of any series, payment of the principal of and premium, if any, and interest on Securities of such series will be made in U.S. Dollars.</w:t>
      </w:r>
    </w:p>
    <w:p>
      <w:pPr>
        <w:spacing w:after="0" w:line="124" w:lineRule="exact"/>
        <w:rPr>
          <w:rFonts w:ascii="Times New Roman" w:cs="Times New Roman" w:eastAsia="Times New Roman" w:hAnsi="Times New Roman"/>
          <w:sz w:val="14"/>
          <w:szCs w:val="14"/>
          <w:color w:val="auto"/>
        </w:rPr>
      </w:pPr>
    </w:p>
    <w:p>
      <w:pPr>
        <w:ind w:left="160" w:right="199" w:firstLine="784"/>
        <w:spacing w:after="0" w:line="260" w:lineRule="auto"/>
        <w:tabs>
          <w:tab w:leader="none" w:pos="1142"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purposes of any provision of the Indenture where the Holders of Outstanding Securities may perform an action that requires that a specified percentage of the Outstanding Securities of all series perform such action and for purposes of any decision or determination by the Trustee of amounts due and unpaid for the principal of and premium, if any, and interest on the Securities of all series in respect of which moneys are to be disbursed ratably, the principal of and premium, if any, and interest on the Outstanding Securities denominated in a Foreign Currency will be the amount in U.S. Dollars based upon exchange rates, determined as specified pursuant to Section 3.01 for Securities of such series, as of the date for determining whether the Holders entitled to perform such action have performed it or as of the date of such decision or determination by the Trustee, as the case may be.</w:t>
      </w:r>
    </w:p>
    <w:p>
      <w:pPr>
        <w:spacing w:after="0" w:line="315" w:lineRule="exact"/>
        <w:rPr>
          <w:rFonts w:ascii="Times New Roman" w:cs="Times New Roman" w:eastAsia="Times New Roman" w:hAnsi="Times New Roman"/>
          <w:sz w:val="14"/>
          <w:szCs w:val="14"/>
          <w:color w:val="auto"/>
        </w:rPr>
      </w:pPr>
    </w:p>
    <w:p>
      <w:pPr>
        <w:ind w:left="160" w:right="319" w:firstLine="784"/>
        <w:spacing w:after="0" w:line="262" w:lineRule="auto"/>
        <w:tabs>
          <w:tab w:leader="none" w:pos="1134"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decision or determination to be made regarding exchange rates shall be made by an agent appointed by the Company; provided, that such agent shall accept such appointment in writing and the terms of such appointment shall, in the opinion of the Company at the time of such appointment, require such agent to make such determination by a method consistent with the method provided pursuant to Section 3.01 for the making of such decision or determination. All decisions and determinations of such agent regarding exchange rates shall, in the absence of manifest error, be conclusive for all purposes and irrevocably binding upon the Company, the Trustee and all Holders of the Securities.</w:t>
      </w:r>
    </w:p>
    <w:p>
      <w:pPr>
        <w:spacing w:after="0" w:line="143" w:lineRule="exact"/>
        <w:rPr>
          <w:sz w:val="20"/>
          <w:szCs w:val="20"/>
          <w:color w:val="auto"/>
        </w:rPr>
      </w:pPr>
    </w:p>
    <w:p>
      <w:pPr>
        <w:ind w:left="160" w:right="179" w:firstLine="347"/>
        <w:spacing w:after="0" w:line="256" w:lineRule="auto"/>
        <w:rPr>
          <w:sz w:val="20"/>
          <w:szCs w:val="20"/>
          <w:color w:val="auto"/>
        </w:rPr>
      </w:pPr>
      <w:r>
        <w:rPr>
          <w:rFonts w:ascii="Times New Roman" w:cs="Times New Roman" w:eastAsia="Times New Roman" w:hAnsi="Times New Roman"/>
          <w:sz w:val="14"/>
          <w:szCs w:val="14"/>
          <w:color w:val="auto"/>
        </w:rPr>
        <w:t xml:space="preserve">Section 3.12 </w:t>
      </w:r>
      <w:r>
        <w:rPr>
          <w:rFonts w:ascii="Times New Roman" w:cs="Times New Roman" w:eastAsia="Times New Roman" w:hAnsi="Times New Roman"/>
          <w:sz w:val="14"/>
          <w:szCs w:val="14"/>
          <w:u w:val="single" w:color="auto"/>
          <w:color w:val="auto"/>
        </w:rPr>
        <w:t>Judgments</w:t>
      </w:r>
      <w:r>
        <w:rPr>
          <w:rFonts w:ascii="Times New Roman" w:cs="Times New Roman" w:eastAsia="Times New Roman" w:hAnsi="Times New Roman"/>
          <w:sz w:val="14"/>
          <w:szCs w:val="14"/>
          <w:color w:val="auto"/>
        </w:rPr>
        <w:t>. The Company may provide pursuant to Section 3.01 for Securities of any series that (a) the obligation, if any, of the Company to pay the principal of, premium, if any, and interest on the Securities of any series in a Foreign Currency or U.S. Dollars (the “Designated Currency”) as may be specified pursuant to Section 3.01 is of the essence and agrees that, to the fullest extent possible under applicable law, judgments in respect of such Securities shall be given in the Designated Currency; (b) the obligation of the Company to make payments in the Designated Currency of the principal of and premium, if any, and interest on such Securities shall, notwithstanding any payment in any other Currency (whether pursuant to a judgment or otherwise), be discharged only to the extent of the amount in the Designated Currency that the Holder receiving such payment may, in accordance with normal banking procedures, purchase with the sum paid in such other Currency (after any premium and cost of exchange) on the business day in the country of issue of the Designated Currency or in the international banking community (in the case of a composite currency) immediately following the day on which such Holder receives such payment; (c) if the amount in the Designated Currency that may be so purchased for any reason falls short of the amount originally due, the Company shall pay such additional amounts as may be necessary to compensate for such shortfall; and (d) any obligation of the Company not discharged by such payment shall be due as a separate and independent obligation and, until discharged as provided herein, shall continue in full force and effect.</w:t>
      </w:r>
    </w:p>
    <w:p>
      <w:pPr>
        <w:spacing w:after="0" w:line="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27</w:t>
      </w:r>
    </w:p>
    <w:p>
      <w:pPr>
        <w:sectPr>
          <w:pgSz w:w="11900" w:h="16838" w:orient="portrait"/>
          <w:cols w:equalWidth="0" w:num="1">
            <w:col w:w="9019"/>
          </w:cols>
          <w:pgMar w:left="1440" w:top="242" w:right="1440" w:bottom="1440" w:gutter="0" w:footer="0" w:header="0"/>
        </w:sectPr>
      </w:pPr>
    </w:p>
    <w:bookmarkStart w:id="61" w:name="page62"/>
    <w:bookmarkEnd w:id="61"/>
    <w:p>
      <w:pPr>
        <w:ind w:left="160" w:right="239" w:firstLine="347"/>
        <w:spacing w:after="0" w:line="260"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4">
                      <a:extLst>
                        <a:ext uri="{28A0092B-C50C-407E-A947-70E740481C1C}"/>
                      </a:extLst>
                    </a:blip>
                    <a:srcRect/>
                    <a:stretch>
                      <a:fillRect/>
                    </a:stretch>
                  </pic:blipFill>
                  <pic:spPr bwMode="auto">
                    <a:xfrm>
                      <a:off x="0" y="0"/>
                      <a:ext cx="7200265" cy="33020"/>
                    </a:xfrm>
                    <a:prstGeom prst="rect">
                      <a:avLst/>
                    </a:prstGeom>
                    <a:noFill/>
                  </pic:spPr>
                </pic:pic>
              </a:graphicData>
            </a:graphic>
          </wp:anchor>
        </w:drawing>
        <w:t xml:space="preserve">Section 3.13 </w:t>
      </w:r>
      <w:r>
        <w:rPr>
          <w:rFonts w:ascii="Times New Roman" w:cs="Times New Roman" w:eastAsia="Times New Roman" w:hAnsi="Times New Roman"/>
          <w:sz w:val="14"/>
          <w:szCs w:val="14"/>
          <w:u w:val="single" w:color="auto"/>
          <w:color w:val="auto"/>
        </w:rPr>
        <w:t>CUSIP Numbers</w:t>
      </w:r>
      <w:r>
        <w:rPr>
          <w:rFonts w:ascii="Times New Roman" w:cs="Times New Roman" w:eastAsia="Times New Roman" w:hAnsi="Times New Roman"/>
          <w:sz w:val="14"/>
          <w:szCs w:val="14"/>
          <w:color w:val="auto"/>
        </w:rPr>
        <w:t>. The Company in issuing any Securities may use CUSIP, ISIN or other similar numbers, if then generally in use, and thereafter with respect to such series, the Trustee may use such numbers in any notice of redemption or exchange with respect to such series provided that any such notice may state that no representation is made as to the correctness of such numbers either as printed on the Securities or as contained in any notice of a redemption and that reliance may be placed only on the other identification numbers printed on the Securities, and any such redemption shall not be affected by any defect in or omission of such numbers. The Company will promptly notify the Trustee in writing of any change in the CUSIP, ISIN or other similar numbers.</w:t>
      </w: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ARTICLE IV</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u w:val="single" w:color="auto"/>
          <w:color w:val="auto"/>
        </w:rPr>
        <w:t>REDEMPTION OF SECURITIES</w:t>
      </w:r>
    </w:p>
    <w:p>
      <w:pPr>
        <w:spacing w:after="0" w:line="181" w:lineRule="exact"/>
        <w:rPr>
          <w:sz w:val="20"/>
          <w:szCs w:val="20"/>
          <w:color w:val="auto"/>
        </w:rPr>
      </w:pPr>
    </w:p>
    <w:p>
      <w:pPr>
        <w:ind w:left="160" w:right="199" w:firstLine="347"/>
        <w:spacing w:after="0" w:line="265" w:lineRule="auto"/>
        <w:rPr>
          <w:sz w:val="20"/>
          <w:szCs w:val="20"/>
          <w:color w:val="auto"/>
        </w:rPr>
      </w:pPr>
      <w:r>
        <w:rPr>
          <w:rFonts w:ascii="Times New Roman" w:cs="Times New Roman" w:eastAsia="Times New Roman" w:hAnsi="Times New Roman"/>
          <w:sz w:val="14"/>
          <w:szCs w:val="14"/>
          <w:color w:val="auto"/>
        </w:rPr>
        <w:t xml:space="preserve">Section 4.01 </w:t>
      </w:r>
      <w:r>
        <w:rPr>
          <w:rFonts w:ascii="Times New Roman" w:cs="Times New Roman" w:eastAsia="Times New Roman" w:hAnsi="Times New Roman"/>
          <w:sz w:val="14"/>
          <w:szCs w:val="14"/>
          <w:u w:val="single" w:color="auto"/>
          <w:color w:val="auto"/>
        </w:rPr>
        <w:t>Applicability of Right of Redemption</w:t>
      </w:r>
      <w:r>
        <w:rPr>
          <w:rFonts w:ascii="Times New Roman" w:cs="Times New Roman" w:eastAsia="Times New Roman" w:hAnsi="Times New Roman"/>
          <w:sz w:val="14"/>
          <w:szCs w:val="14"/>
          <w:color w:val="auto"/>
        </w:rPr>
        <w:t>. Redemption of Securities (other than pursuant to a sinking fund, amortization or analogous provision) permitted by the terms of any series of Securities shall be made (except as otherwise specified pursuant to Section 3.01 for Securities of any series) in accordance with this Article; provided, however, that if any such terms of a series of Securities shall conflict with any provision of this Article, the terms of such series shall govern.</w:t>
      </w:r>
    </w:p>
    <w:p>
      <w:pPr>
        <w:spacing w:after="0" w:line="14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 xml:space="preserve">Section 4.02 </w:t>
      </w:r>
      <w:r>
        <w:rPr>
          <w:rFonts w:ascii="Times New Roman" w:cs="Times New Roman" w:eastAsia="Times New Roman" w:hAnsi="Times New Roman"/>
          <w:sz w:val="14"/>
          <w:szCs w:val="14"/>
          <w:u w:val="single" w:color="auto"/>
          <w:color w:val="auto"/>
        </w:rPr>
        <w:t>Selection of Securities to be Redeemed</w:t>
      </w:r>
      <w:r>
        <w:rPr>
          <w:rFonts w:ascii="Times New Roman" w:cs="Times New Roman" w:eastAsia="Times New Roman" w:hAnsi="Times New Roman"/>
          <w:sz w:val="14"/>
          <w:szCs w:val="14"/>
          <w:color w:val="auto"/>
        </w:rPr>
        <w:t>.</w:t>
      </w:r>
    </w:p>
    <w:p>
      <w:pPr>
        <w:spacing w:after="0" w:line="179" w:lineRule="exact"/>
        <w:rPr>
          <w:sz w:val="20"/>
          <w:szCs w:val="20"/>
          <w:color w:val="auto"/>
        </w:rPr>
      </w:pPr>
    </w:p>
    <w:p>
      <w:pPr>
        <w:ind w:left="160" w:right="199" w:firstLine="784"/>
        <w:spacing w:after="0" w:line="258" w:lineRule="auto"/>
        <w:tabs>
          <w:tab w:leader="none" w:pos="1134" w:val="left"/>
        </w:tabs>
        <w:numPr>
          <w:ilvl w:val="0"/>
          <w:numId w:val="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the Company shall at any time elect to redeem all or any portion of the Securities of a series then Outstanding, it shall at least 10 days prior to the Redemption Date fixed by the Company (unless a shorter period shall be satisfactory to the Trustee) notify the Trustee of such Redemption Date and of the principal amount of Securities to be redeemed, and thereupon the Trustee shall select by lot, and, in the case of Global Securities, in accordance with the procedures of the Depositary, and which may provide for the selection for redemption of a portion of the principal amount of any Security of such series; provided that the unredeemed portion of the principal amount of any Security shall be in an authorized denomination (which shall not be less than the minimum authorized denomination) for such Security. In any case where more than one Security of such series is registered in the same name, the Trustee may treat the aggregate principal amount so registered as if it were represented by one Security of such series. The Trustee shall, as soon as practicable, notify the Company in writing of the Securities and portions of Securities so selected.</w:t>
      </w:r>
    </w:p>
    <w:p>
      <w:pPr>
        <w:spacing w:after="0" w:line="147" w:lineRule="exact"/>
        <w:rPr>
          <w:rFonts w:ascii="Times New Roman" w:cs="Times New Roman" w:eastAsia="Times New Roman" w:hAnsi="Times New Roman"/>
          <w:sz w:val="14"/>
          <w:szCs w:val="14"/>
          <w:color w:val="auto"/>
        </w:rPr>
      </w:pPr>
    </w:p>
    <w:p>
      <w:pPr>
        <w:ind w:left="160" w:right="279" w:firstLine="784"/>
        <w:spacing w:after="0" w:line="265" w:lineRule="auto"/>
        <w:tabs>
          <w:tab w:leader="none" w:pos="1142" w:val="left"/>
        </w:tabs>
        <w:numPr>
          <w:ilvl w:val="0"/>
          <w:numId w:val="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all purposes of this Indenture, unless the context otherwise requires, all provisions relating to the redemption of Securities shall relate, in the case of any Security redeemed or to be redeemed only in part, to the portion of the principal amount of such Security that has been or is to be redeemed. If the Company shall so direct, Securities registered in the name of the Company, any Affiliate or any Subsidiary thereof shall not be included in the Securities selected for redemption.</w:t>
      </w:r>
    </w:p>
    <w:p>
      <w:pPr>
        <w:spacing w:after="0" w:line="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28</w:t>
      </w:r>
    </w:p>
    <w:p>
      <w:pPr>
        <w:sectPr>
          <w:pgSz w:w="11900" w:h="16838" w:orient="portrait"/>
          <w:cols w:equalWidth="0" w:num="1">
            <w:col w:w="9019"/>
          </w:cols>
          <w:pgMar w:left="1440" w:top="242" w:right="1440" w:bottom="1440" w:gutter="0" w:footer="0" w:header="0"/>
        </w:sectPr>
      </w:pPr>
    </w:p>
    <w:bookmarkStart w:id="62" w:name="page63"/>
    <w:bookmarkEnd w:id="62"/>
    <w:p>
      <w:pPr>
        <w:ind w:left="520"/>
        <w:spacing w:after="0"/>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5">
                      <a:extLst>
                        <a:ext uri="{28A0092B-C50C-407E-A947-70E740481C1C}"/>
                      </a:extLst>
                    </a:blip>
                    <a:srcRect/>
                    <a:stretch>
                      <a:fillRect/>
                    </a:stretch>
                  </pic:blipFill>
                  <pic:spPr bwMode="auto">
                    <a:xfrm>
                      <a:off x="0" y="0"/>
                      <a:ext cx="7200265" cy="33020"/>
                    </a:xfrm>
                    <a:prstGeom prst="rect">
                      <a:avLst/>
                    </a:prstGeom>
                    <a:noFill/>
                  </pic:spPr>
                </pic:pic>
              </a:graphicData>
            </a:graphic>
          </wp:anchor>
        </w:drawing>
        <w:t xml:space="preserve">Section 4.03 </w:t>
      </w:r>
      <w:r>
        <w:rPr>
          <w:rFonts w:ascii="Times New Roman" w:cs="Times New Roman" w:eastAsia="Times New Roman" w:hAnsi="Times New Roman"/>
          <w:sz w:val="14"/>
          <w:szCs w:val="14"/>
          <w:u w:val="single" w:color="auto"/>
          <w:color w:val="auto"/>
        </w:rPr>
        <w:t>Notice of Redemption</w:t>
      </w:r>
      <w:r>
        <w:rPr>
          <w:rFonts w:ascii="Times New Roman" w:cs="Times New Roman" w:eastAsia="Times New Roman" w:hAnsi="Times New Roman"/>
          <w:sz w:val="14"/>
          <w:szCs w:val="14"/>
          <w:color w:val="auto"/>
        </w:rPr>
        <w:t>.</w:t>
      </w:r>
    </w:p>
    <w:p>
      <w:pPr>
        <w:spacing w:after="0" w:line="179" w:lineRule="exact"/>
        <w:rPr>
          <w:sz w:val="20"/>
          <w:szCs w:val="20"/>
          <w:color w:val="auto"/>
        </w:rPr>
      </w:pPr>
    </w:p>
    <w:p>
      <w:pPr>
        <w:ind w:left="160" w:right="199" w:firstLine="784"/>
        <w:spacing w:after="0" w:line="260" w:lineRule="auto"/>
        <w:tabs>
          <w:tab w:leader="none" w:pos="1134" w:val="left"/>
        </w:tabs>
        <w:numPr>
          <w:ilvl w:val="0"/>
          <w:numId w:val="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Notice of redemption shall be given by the Company or, at the Company’s request, by the Trustee in the name and at the expense of the Company, not less than 10 nor more than 60 days prior to the Redemption Date, to the Holders of Securities of any series to be redeemed in whole or in part pursuant to this Article, in the manner provided in Section 16.04. Any notice so given shall be conclusively presumed to have been duly given, whether or not the Holder receives such notice. Failure to give such notice, or any defect in such notice to the Holder of any Security of a series designated for redemption, in whole or in part, shall not affect the sufficiency of any notice of redemption with respect to the Holder of any other Security of such series.</w:t>
      </w:r>
    </w:p>
    <w:p>
      <w:pPr>
        <w:spacing w:after="0" w:line="145" w:lineRule="exact"/>
        <w:rPr>
          <w:rFonts w:ascii="Times New Roman" w:cs="Times New Roman" w:eastAsia="Times New Roman" w:hAnsi="Times New Roman"/>
          <w:sz w:val="14"/>
          <w:szCs w:val="14"/>
          <w:color w:val="auto"/>
        </w:rPr>
      </w:pPr>
    </w:p>
    <w:p>
      <w:pPr>
        <w:ind w:left="160" w:right="419" w:firstLine="784"/>
        <w:spacing w:after="0" w:line="288" w:lineRule="auto"/>
        <w:tabs>
          <w:tab w:leader="none" w:pos="1142" w:val="left"/>
        </w:tabs>
        <w:numPr>
          <w:ilvl w:val="0"/>
          <w:numId w:val="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notices of redemption shall identify the Securities to be redeemed (including CUSIP, ISIN or other similar numbers, if available along with the statement in Section 3.13) and shall state:</w:t>
      </w:r>
    </w:p>
    <w:p>
      <w:pPr>
        <w:spacing w:after="0" w:line="39" w:lineRule="exact"/>
        <w:rPr>
          <w:rFonts w:ascii="Times New Roman" w:cs="Times New Roman" w:eastAsia="Times New Roman" w:hAnsi="Times New Roman"/>
          <w:sz w:val="14"/>
          <w:szCs w:val="14"/>
          <w:color w:val="auto"/>
        </w:rPr>
      </w:pPr>
    </w:p>
    <w:p>
      <w:pPr>
        <w:ind w:left="520" w:right="319" w:firstLine="740"/>
        <w:spacing w:after="0" w:line="288" w:lineRule="auto"/>
        <w:tabs>
          <w:tab w:leader="none" w:pos="1439" w:val="left"/>
        </w:tabs>
        <w:numPr>
          <w:ilvl w:val="1"/>
          <w:numId w:val="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such election by the Company to redeem Securities of such series pursuant to provisions contained in this Indenture or the terms of the Securities of such series or a supplemental indenture establishing such series, if such be the case;</w:t>
      </w:r>
    </w:p>
    <w:p>
      <w:pPr>
        <w:spacing w:after="0" w:line="39" w:lineRule="exact"/>
        <w:rPr>
          <w:rFonts w:ascii="Times New Roman" w:cs="Times New Roman" w:eastAsia="Times New Roman" w:hAnsi="Times New Roman"/>
          <w:sz w:val="14"/>
          <w:szCs w:val="14"/>
          <w:color w:val="auto"/>
        </w:rPr>
      </w:pPr>
    </w:p>
    <w:p>
      <w:pPr>
        <w:ind w:left="1460" w:hanging="200"/>
        <w:spacing w:after="0"/>
        <w:tabs>
          <w:tab w:leader="none" w:pos="1460" w:val="left"/>
        </w:tabs>
        <w:numPr>
          <w:ilvl w:val="1"/>
          <w:numId w:val="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Redemption Date;</w:t>
      </w:r>
    </w:p>
    <w:p>
      <w:pPr>
        <w:spacing w:after="0" w:line="94" w:lineRule="exact"/>
        <w:rPr>
          <w:rFonts w:ascii="Times New Roman" w:cs="Times New Roman" w:eastAsia="Times New Roman" w:hAnsi="Times New Roman"/>
          <w:sz w:val="14"/>
          <w:szCs w:val="14"/>
          <w:color w:val="auto"/>
        </w:rPr>
      </w:pPr>
    </w:p>
    <w:p>
      <w:pPr>
        <w:ind w:left="1500" w:hanging="240"/>
        <w:spacing w:after="0"/>
        <w:tabs>
          <w:tab w:leader="none" w:pos="1500" w:val="left"/>
        </w:tabs>
        <w:numPr>
          <w:ilvl w:val="1"/>
          <w:numId w:val="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Redemption Price;</w:t>
      </w:r>
    </w:p>
    <w:p>
      <w:pPr>
        <w:spacing w:after="0" w:line="94" w:lineRule="exact"/>
        <w:rPr>
          <w:rFonts w:ascii="Times New Roman" w:cs="Times New Roman" w:eastAsia="Times New Roman" w:hAnsi="Times New Roman"/>
          <w:sz w:val="14"/>
          <w:szCs w:val="14"/>
          <w:color w:val="auto"/>
        </w:rPr>
      </w:pPr>
    </w:p>
    <w:p>
      <w:pPr>
        <w:ind w:left="520" w:right="279" w:firstLine="740"/>
        <w:spacing w:after="0" w:line="288" w:lineRule="auto"/>
        <w:tabs>
          <w:tab w:leader="none" w:pos="1510" w:val="left"/>
        </w:tabs>
        <w:numPr>
          <w:ilvl w:val="1"/>
          <w:numId w:val="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less than all Outstanding Securities of any series are to be redeemed, the identification (and, in the case of partial redemption, the principal amounts) of the Securities of such series to be redeemed;</w:t>
      </w:r>
    </w:p>
    <w:p>
      <w:pPr>
        <w:spacing w:after="0" w:line="39" w:lineRule="exact"/>
        <w:rPr>
          <w:rFonts w:ascii="Times New Roman" w:cs="Times New Roman" w:eastAsia="Times New Roman" w:hAnsi="Times New Roman"/>
          <w:sz w:val="14"/>
          <w:szCs w:val="14"/>
          <w:color w:val="auto"/>
        </w:rPr>
      </w:pPr>
    </w:p>
    <w:p>
      <w:pPr>
        <w:ind w:left="520" w:right="379" w:firstLine="740"/>
        <w:spacing w:after="0" w:line="288" w:lineRule="auto"/>
        <w:tabs>
          <w:tab w:leader="none" w:pos="1471" w:val="left"/>
        </w:tabs>
        <w:numPr>
          <w:ilvl w:val="1"/>
          <w:numId w:val="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that on the Redemption Date the Redemption Price will become due and payable upon each such Security to be redeemed, and that, if applicable, interest thereon shall cease to accrue on and after said date;</w:t>
      </w:r>
    </w:p>
    <w:p>
      <w:pPr>
        <w:spacing w:after="0" w:line="39" w:lineRule="exact"/>
        <w:rPr>
          <w:rFonts w:ascii="Times New Roman" w:cs="Times New Roman" w:eastAsia="Times New Roman" w:hAnsi="Times New Roman"/>
          <w:sz w:val="14"/>
          <w:szCs w:val="14"/>
          <w:color w:val="auto"/>
        </w:rPr>
      </w:pPr>
    </w:p>
    <w:p>
      <w:pPr>
        <w:ind w:left="1500" w:hanging="240"/>
        <w:spacing w:after="0"/>
        <w:tabs>
          <w:tab w:leader="none" w:pos="1500" w:val="left"/>
        </w:tabs>
        <w:numPr>
          <w:ilvl w:val="1"/>
          <w:numId w:val="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Place or Places of Payment where such Securities are to be surrendered for payment of the Redemption Price; and</w:t>
      </w:r>
    </w:p>
    <w:p>
      <w:pPr>
        <w:spacing w:after="0" w:line="94" w:lineRule="exact"/>
        <w:rPr>
          <w:rFonts w:ascii="Times New Roman" w:cs="Times New Roman" w:eastAsia="Times New Roman" w:hAnsi="Times New Roman"/>
          <w:sz w:val="14"/>
          <w:szCs w:val="14"/>
          <w:color w:val="auto"/>
        </w:rPr>
      </w:pPr>
    </w:p>
    <w:p>
      <w:pPr>
        <w:ind w:left="1540" w:hanging="280"/>
        <w:spacing w:after="0"/>
        <w:tabs>
          <w:tab w:leader="none" w:pos="1540" w:val="left"/>
        </w:tabs>
        <w:numPr>
          <w:ilvl w:val="1"/>
          <w:numId w:val="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that the redemption is for a sinking fund, if such is the case.</w:t>
      </w:r>
    </w:p>
    <w:p>
      <w:pPr>
        <w:spacing w:after="0" w:line="179" w:lineRule="exact"/>
        <w:rPr>
          <w:sz w:val="20"/>
          <w:szCs w:val="20"/>
          <w:color w:val="auto"/>
        </w:rPr>
      </w:pPr>
    </w:p>
    <w:p>
      <w:pPr>
        <w:ind w:left="160" w:right="299" w:firstLine="347"/>
        <w:spacing w:after="0" w:line="265" w:lineRule="auto"/>
        <w:rPr>
          <w:sz w:val="20"/>
          <w:szCs w:val="20"/>
          <w:color w:val="auto"/>
        </w:rPr>
      </w:pPr>
      <w:r>
        <w:rPr>
          <w:rFonts w:ascii="Times New Roman" w:cs="Times New Roman" w:eastAsia="Times New Roman" w:hAnsi="Times New Roman"/>
          <w:sz w:val="14"/>
          <w:szCs w:val="14"/>
          <w:color w:val="auto"/>
        </w:rPr>
        <w:t xml:space="preserve">Section 4.04 </w:t>
      </w:r>
      <w:r>
        <w:rPr>
          <w:rFonts w:ascii="Times New Roman" w:cs="Times New Roman" w:eastAsia="Times New Roman" w:hAnsi="Times New Roman"/>
          <w:sz w:val="14"/>
          <w:szCs w:val="14"/>
          <w:u w:val="single" w:color="auto"/>
          <w:color w:val="auto"/>
        </w:rPr>
        <w:t>Deposit of Redemption Price</w:t>
      </w:r>
      <w:r>
        <w:rPr>
          <w:rFonts w:ascii="Times New Roman" w:cs="Times New Roman" w:eastAsia="Times New Roman" w:hAnsi="Times New Roman"/>
          <w:sz w:val="14"/>
          <w:szCs w:val="14"/>
          <w:color w:val="auto"/>
        </w:rPr>
        <w:t>. On or prior to 11:00 a.m., New York City time, on the Redemption Date for any Securities, the Company shall deposit with the Trustee or with a Paying Agent (or, if the Company is acting as its own Paying Agent, segregate and hold in trust as provided in Section 6.03) an amount of money in the Currency in which such Securities are denominated (except as provided pursuant to Section 3.01) sufficient to pay the Redemption Price of such Securities or any portions thereof that are to be redeemed on that date.</w:t>
      </w:r>
    </w:p>
    <w:p>
      <w:pPr>
        <w:spacing w:after="0" w:line="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29</w:t>
      </w:r>
    </w:p>
    <w:p>
      <w:pPr>
        <w:sectPr>
          <w:pgSz w:w="11900" w:h="16838" w:orient="portrait"/>
          <w:cols w:equalWidth="0" w:num="1">
            <w:col w:w="9019"/>
          </w:cols>
          <w:pgMar w:left="1440" w:top="242" w:right="1440" w:bottom="1440" w:gutter="0" w:footer="0" w:header="0"/>
        </w:sectPr>
      </w:pPr>
    </w:p>
    <w:bookmarkStart w:id="63" w:name="page64"/>
    <w:bookmarkEnd w:id="63"/>
    <w:p>
      <w:pPr>
        <w:ind w:left="160" w:right="179" w:firstLine="347"/>
        <w:spacing w:after="0" w:line="260"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6">
                      <a:extLst>
                        <a:ext uri="{28A0092B-C50C-407E-A947-70E740481C1C}"/>
                      </a:extLst>
                    </a:blip>
                    <a:srcRect/>
                    <a:stretch>
                      <a:fillRect/>
                    </a:stretch>
                  </pic:blipFill>
                  <pic:spPr bwMode="auto">
                    <a:xfrm>
                      <a:off x="0" y="0"/>
                      <a:ext cx="7200265" cy="33020"/>
                    </a:xfrm>
                    <a:prstGeom prst="rect">
                      <a:avLst/>
                    </a:prstGeom>
                    <a:noFill/>
                  </pic:spPr>
                </pic:pic>
              </a:graphicData>
            </a:graphic>
          </wp:anchor>
        </w:drawing>
        <w:t xml:space="preserve">Section 4.05 </w:t>
      </w:r>
      <w:r>
        <w:rPr>
          <w:rFonts w:ascii="Times New Roman" w:cs="Times New Roman" w:eastAsia="Times New Roman" w:hAnsi="Times New Roman"/>
          <w:sz w:val="14"/>
          <w:szCs w:val="14"/>
          <w:u w:val="single" w:color="auto"/>
          <w:color w:val="auto"/>
        </w:rPr>
        <w:t>Securities Payable on Redemption Date</w:t>
      </w:r>
      <w:r>
        <w:rPr>
          <w:rFonts w:ascii="Times New Roman" w:cs="Times New Roman" w:eastAsia="Times New Roman" w:hAnsi="Times New Roman"/>
          <w:sz w:val="14"/>
          <w:szCs w:val="14"/>
          <w:color w:val="auto"/>
        </w:rPr>
        <w:t>. Notice of redemption having been given as aforesaid, any Securities so to be redeemed shall, on the Redemption Date, become due and payable at the Redemption Price and from and after such date (unless the Company shall Default in the payment of the Redemption Price) such Securities shall cease to bear interest. Upon surrender of any such Security for redemption in accordance with said notice, such Security shall be paid by the Company at the Redemption Price; provided, however, that (unless otherwise provided pursuant to Section 3.01) installments of interest that have a Stated Maturity on or prior to the Redemption Date for such Securities shall be payable according to the terms of such Securities and the provisions of Section 3.08.</w:t>
      </w:r>
    </w:p>
    <w:p>
      <w:pPr>
        <w:spacing w:after="0" w:line="145" w:lineRule="exact"/>
        <w:rPr>
          <w:sz w:val="20"/>
          <w:szCs w:val="20"/>
          <w:color w:val="auto"/>
        </w:rPr>
      </w:pPr>
    </w:p>
    <w:p>
      <w:pPr>
        <w:ind w:left="160" w:right="179" w:firstLine="347"/>
        <w:spacing w:after="0" w:line="288" w:lineRule="auto"/>
        <w:rPr>
          <w:sz w:val="20"/>
          <w:szCs w:val="20"/>
          <w:color w:val="auto"/>
        </w:rPr>
      </w:pPr>
      <w:r>
        <w:rPr>
          <w:rFonts w:ascii="Times New Roman" w:cs="Times New Roman" w:eastAsia="Times New Roman" w:hAnsi="Times New Roman"/>
          <w:sz w:val="14"/>
          <w:szCs w:val="14"/>
          <w:color w:val="auto"/>
        </w:rPr>
        <w:t>If any Security called for redemption shall not be so paid upon surrender thereof for redemption, the principal thereof and premium, if any, thereon shall, until paid, bear interest from the Redemption Date at the rate borne by or prescribed in such Securities.</w:t>
      </w:r>
    </w:p>
    <w:p>
      <w:pPr>
        <w:spacing w:after="0" w:line="124" w:lineRule="exact"/>
        <w:rPr>
          <w:sz w:val="20"/>
          <w:szCs w:val="20"/>
          <w:color w:val="auto"/>
        </w:rPr>
      </w:pPr>
    </w:p>
    <w:p>
      <w:pPr>
        <w:ind w:left="160" w:right="199" w:firstLine="347"/>
        <w:spacing w:after="0" w:line="257" w:lineRule="auto"/>
        <w:rPr>
          <w:sz w:val="20"/>
          <w:szCs w:val="20"/>
          <w:color w:val="auto"/>
        </w:rPr>
      </w:pPr>
      <w:r>
        <w:rPr>
          <w:rFonts w:ascii="Times New Roman" w:cs="Times New Roman" w:eastAsia="Times New Roman" w:hAnsi="Times New Roman"/>
          <w:sz w:val="14"/>
          <w:szCs w:val="14"/>
          <w:color w:val="auto"/>
        </w:rPr>
        <w:t xml:space="preserve">Section 4.06 </w:t>
      </w:r>
      <w:r>
        <w:rPr>
          <w:rFonts w:ascii="Times New Roman" w:cs="Times New Roman" w:eastAsia="Times New Roman" w:hAnsi="Times New Roman"/>
          <w:sz w:val="14"/>
          <w:szCs w:val="14"/>
          <w:u w:val="single" w:color="auto"/>
          <w:color w:val="auto"/>
        </w:rPr>
        <w:t>Securities Redeemed in Part</w:t>
      </w:r>
      <w:r>
        <w:rPr>
          <w:rFonts w:ascii="Times New Roman" w:cs="Times New Roman" w:eastAsia="Times New Roman" w:hAnsi="Times New Roman"/>
          <w:sz w:val="14"/>
          <w:szCs w:val="14"/>
          <w:color w:val="auto"/>
        </w:rPr>
        <w:t>. Any Security that is to be redeemed only in part shall be surrendered to the Trustee or such other office or agency of the Company as is specified in the notice of redemption with, if the Company, the Registrar or the Trustee so requires, due endorsement by, or a written instrument of transfer in form satisfactory to the Company, the Registrar and the Trustee duly executed by the Holder thereof or his, her or its attorney duly authorized in writing, and the Company shall execute, and the Trustee shall authenticate and deliver to the Holder of such Security without service charge, a new Security or Securities of the same series, of like tenor and form, of any authorized denomination as requested by such Holder in aggregate principal amount equal to and in exchange for the unredeemed portion of the principal of the Security so surrendered; except that if a Global Security is so surrendered, the Company shall execute, and the Trustee shall authenticate and deliver to the Depositary for such Global Security, without service charge, a new Global Security in a denomination equal to and in exchange for the unredeemed portion of the principal of the Global Security so surrendered. In the case of a Security providing appropriate space for such notation, at the option of the Holder thereof, the Trustee, in lieu of delivering a new Security or Securities as aforesaid, may make a notation on such Security of the payment of the redeemed portion thereof.</w:t>
      </w:r>
    </w:p>
    <w:p>
      <w:pPr>
        <w:spacing w:after="0" w:line="3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ARTICLE V</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u w:val="single" w:color="auto"/>
          <w:color w:val="auto"/>
        </w:rPr>
        <w:t>SINKING FUNDS</w:t>
      </w:r>
    </w:p>
    <w:p>
      <w:pPr>
        <w:spacing w:after="0" w:line="18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 xml:space="preserve">Section 5.01 </w:t>
      </w:r>
      <w:r>
        <w:rPr>
          <w:rFonts w:ascii="Times New Roman" w:cs="Times New Roman" w:eastAsia="Times New Roman" w:hAnsi="Times New Roman"/>
          <w:sz w:val="14"/>
          <w:szCs w:val="14"/>
          <w:u w:val="single" w:color="auto"/>
          <w:color w:val="auto"/>
        </w:rPr>
        <w:t>Applicability of Sinking Fund</w:t>
      </w:r>
      <w:r>
        <w:rPr>
          <w:rFonts w:ascii="Times New Roman" w:cs="Times New Roman" w:eastAsia="Times New Roman" w:hAnsi="Times New Roman"/>
          <w:sz w:val="14"/>
          <w:szCs w:val="14"/>
          <w:color w:val="auto"/>
        </w:rPr>
        <w:t>.</w:t>
      </w:r>
    </w:p>
    <w:p>
      <w:pPr>
        <w:spacing w:after="0" w:line="179" w:lineRule="exact"/>
        <w:rPr>
          <w:sz w:val="20"/>
          <w:szCs w:val="20"/>
          <w:color w:val="auto"/>
        </w:rPr>
      </w:pPr>
    </w:p>
    <w:p>
      <w:pPr>
        <w:ind w:left="160" w:right="199" w:firstLine="784"/>
        <w:spacing w:after="0" w:line="265" w:lineRule="auto"/>
        <w:tabs>
          <w:tab w:leader="none" w:pos="1134" w:val="left"/>
        </w:tabs>
        <w:numPr>
          <w:ilvl w:val="0"/>
          <w:numId w:val="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Redemption of Securities permitted or required pursuant to a sinking fund for the retirement of Securities of a series by the terms of such series of Securities shall be made in accordance with such terms of such series of Securities and this Article, except as otherwise specified pursuant to Article IV for Securities of such series, provided, however, that if any such terms of a series of Securities shall conflict with any provision of this Article, the terms of such series shall govern.</w:t>
      </w:r>
    </w:p>
    <w:p>
      <w:pPr>
        <w:spacing w:after="0" w:line="140" w:lineRule="exact"/>
        <w:rPr>
          <w:rFonts w:ascii="Times New Roman" w:cs="Times New Roman" w:eastAsia="Times New Roman" w:hAnsi="Times New Roman"/>
          <w:sz w:val="14"/>
          <w:szCs w:val="14"/>
          <w:color w:val="auto"/>
        </w:rPr>
      </w:pPr>
    </w:p>
    <w:p>
      <w:pPr>
        <w:ind w:left="160" w:right="179" w:firstLine="784"/>
        <w:spacing w:after="0" w:line="265" w:lineRule="auto"/>
        <w:tabs>
          <w:tab w:leader="none" w:pos="1142" w:val="left"/>
        </w:tabs>
        <w:numPr>
          <w:ilvl w:val="0"/>
          <w:numId w:val="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minimum amount of any sinking fund payment provided for by the terms of Securities of any series is herein referred to as a “Mandatory Sinking Fund Payment,” and any payment in excess of such minimum amount provided for by the terms of Securities of any series is herein referred to as an “Optional Sinking Fund Payment.” If provided for by the terms of Securities of any series, the cash amount of any Mandatory Sinking Fund Payment may be subject to reduction as provided in Section 5.02.</w:t>
      </w:r>
    </w:p>
    <w:p>
      <w:pPr>
        <w:spacing w:after="0" w:line="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30</w:t>
      </w:r>
    </w:p>
    <w:p>
      <w:pPr>
        <w:sectPr>
          <w:pgSz w:w="11900" w:h="16838" w:orient="portrait"/>
          <w:cols w:equalWidth="0" w:num="1">
            <w:col w:w="9019"/>
          </w:cols>
          <w:pgMar w:left="1440" w:top="242" w:right="1440" w:bottom="1440" w:gutter="0" w:footer="0" w:header="0"/>
        </w:sectPr>
      </w:pPr>
    </w:p>
    <w:bookmarkStart w:id="64" w:name="page65"/>
    <w:bookmarkEnd w:id="64"/>
    <w:p>
      <w:pPr>
        <w:ind w:left="160" w:right="259" w:firstLine="347"/>
        <w:spacing w:after="0" w:line="257"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7">
                      <a:extLst>
                        <a:ext uri="{28A0092B-C50C-407E-A947-70E740481C1C}"/>
                      </a:extLst>
                    </a:blip>
                    <a:srcRect/>
                    <a:stretch>
                      <a:fillRect/>
                    </a:stretch>
                  </pic:blipFill>
                  <pic:spPr bwMode="auto">
                    <a:xfrm>
                      <a:off x="0" y="0"/>
                      <a:ext cx="7200265" cy="33020"/>
                    </a:xfrm>
                    <a:prstGeom prst="rect">
                      <a:avLst/>
                    </a:prstGeom>
                    <a:noFill/>
                  </pic:spPr>
                </pic:pic>
              </a:graphicData>
            </a:graphic>
          </wp:anchor>
        </w:drawing>
        <w:t xml:space="preserve">Section 5.02 </w:t>
      </w:r>
      <w:r>
        <w:rPr>
          <w:rFonts w:ascii="Times New Roman" w:cs="Times New Roman" w:eastAsia="Times New Roman" w:hAnsi="Times New Roman"/>
          <w:sz w:val="14"/>
          <w:szCs w:val="14"/>
          <w:u w:val="single" w:color="auto"/>
          <w:color w:val="auto"/>
        </w:rPr>
        <w:t>Mandatory Sinking Fund Obligation</w:t>
      </w:r>
      <w:r>
        <w:rPr>
          <w:rFonts w:ascii="Times New Roman" w:cs="Times New Roman" w:eastAsia="Times New Roman" w:hAnsi="Times New Roman"/>
          <w:sz w:val="14"/>
          <w:szCs w:val="14"/>
          <w:color w:val="auto"/>
        </w:rPr>
        <w:t>. The Company may, at its option, satisfy any Mandatory Sinking Fund Payment obligation, in whole or in part, with respect to a particular series of Securities by (a) delivering to the Trustee Securities of such series in transferable form theretofore purchased or otherwise acquired by the Company or redeemed at the election of the Company pursuant to Article IV or (b) receiving credit for Securities of such series (not previously so credited) acquired by the Company and theretofore delivered to the Trustee. The Trustee shall credit such Mandatory Sinking Fund Payment obligation with an amount equal to the Redemption Price specified in such Securities for redemption through operation of the sinking fund and the amount of such Mandatory Sinking Fund Payment shall be reduced accordingly. If the Company shall elect to so satisfy any Mandatory Sinking Fund Payment obligation, it shall deliver to the Trustee not less than 45 days prior to the relevant sinking fund payment date an Officer’s Certificate, which shall designate the Securities (and portions thereof, if any) so delivered or credited and which shall be accompanied by such Securities (to the extent not theretofore delivered) in transferable form. In case of the failure of the Company, at or before the time so required, to give such notice and deliver such Securities the Mandatory Sinking Fund Payment obligation shall be paid entirely in moneys.</w:t>
      </w:r>
    </w:p>
    <w:p>
      <w:pPr>
        <w:spacing w:after="0" w:line="149" w:lineRule="exact"/>
        <w:rPr>
          <w:sz w:val="20"/>
          <w:szCs w:val="20"/>
          <w:color w:val="auto"/>
        </w:rPr>
      </w:pPr>
    </w:p>
    <w:p>
      <w:pPr>
        <w:ind w:left="160" w:right="199" w:firstLine="347"/>
        <w:spacing w:after="0" w:line="258" w:lineRule="auto"/>
        <w:rPr>
          <w:sz w:val="20"/>
          <w:szCs w:val="20"/>
          <w:color w:val="auto"/>
        </w:rPr>
      </w:pPr>
      <w:r>
        <w:rPr>
          <w:rFonts w:ascii="Times New Roman" w:cs="Times New Roman" w:eastAsia="Times New Roman" w:hAnsi="Times New Roman"/>
          <w:sz w:val="14"/>
          <w:szCs w:val="14"/>
          <w:color w:val="auto"/>
        </w:rPr>
        <w:t xml:space="preserve">Section 5.03 </w:t>
      </w:r>
      <w:r>
        <w:rPr>
          <w:rFonts w:ascii="Times New Roman" w:cs="Times New Roman" w:eastAsia="Times New Roman" w:hAnsi="Times New Roman"/>
          <w:sz w:val="14"/>
          <w:szCs w:val="14"/>
          <w:u w:val="single" w:color="auto"/>
          <w:color w:val="auto"/>
        </w:rPr>
        <w:t>Optional Redemption at Sinking Fund Redemption Price</w:t>
      </w:r>
      <w:r>
        <w:rPr>
          <w:rFonts w:ascii="Times New Roman" w:cs="Times New Roman" w:eastAsia="Times New Roman" w:hAnsi="Times New Roman"/>
          <w:sz w:val="14"/>
          <w:szCs w:val="14"/>
          <w:color w:val="auto"/>
        </w:rPr>
        <w:t>. In addition to the sinking fund requirements of Section 5.02, to the extent, if any, provided for by the terms of a particular series of Securities, the Company may, at its option, make an Optional Sinking Fund Payment with respect to such Securities. Unless otherwise provided by such terms, (a) to the extent that the right of the Company to make such Optional Sinking Fund Payment shall not be exercised in any year, it shall not be cumulative or carried forward to any subsequent year, and (b) such optional payment shall operate to reduce the amount of any Mandatory Sinking Fund Payment obligation as to Securities of the same series. If the Company intends to exercise its right to make such optional payment in any year it shall deliver to the Trustee not less than 45 days prior to the relevant sinking fund payment date an Officer’s Certificate stating that the Company will exercise such optional right, and specifying the amount which the Company will pay on or before the next succeeding sinking fund payment date. Such Officer’s Certificate shall also state that no Event of Default has occurred and is continuing.</w:t>
      </w:r>
    </w:p>
    <w:p>
      <w:pPr>
        <w:spacing w:after="0" w:line="14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 xml:space="preserve">Section 5.04 </w:t>
      </w:r>
      <w:r>
        <w:rPr>
          <w:rFonts w:ascii="Times New Roman" w:cs="Times New Roman" w:eastAsia="Times New Roman" w:hAnsi="Times New Roman"/>
          <w:sz w:val="14"/>
          <w:szCs w:val="14"/>
          <w:u w:val="single" w:color="auto"/>
          <w:color w:val="auto"/>
        </w:rPr>
        <w:t>Application of Sinking Fund Payment</w:t>
      </w:r>
      <w:r>
        <w:rPr>
          <w:rFonts w:ascii="Times New Roman" w:cs="Times New Roman" w:eastAsia="Times New Roman" w:hAnsi="Times New Roman"/>
          <w:sz w:val="14"/>
          <w:szCs w:val="14"/>
          <w:color w:val="auto"/>
        </w:rPr>
        <w:t>.</w:t>
      </w:r>
    </w:p>
    <w:p>
      <w:pPr>
        <w:spacing w:after="0" w:line="179" w:lineRule="exact"/>
        <w:rPr>
          <w:sz w:val="20"/>
          <w:szCs w:val="20"/>
          <w:color w:val="auto"/>
        </w:rPr>
      </w:pPr>
    </w:p>
    <w:p>
      <w:pPr>
        <w:ind w:left="160" w:right="219" w:firstLine="784"/>
        <w:spacing w:after="0" w:line="259" w:lineRule="auto"/>
        <w:tabs>
          <w:tab w:leader="none" w:pos="1134" w:val="left"/>
        </w:tabs>
        <w:numPr>
          <w:ilvl w:val="0"/>
          <w:numId w:val="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the sinking fund payment or payments made in funds pursuant to either Section 5.02 or 5.03 with respect to a particular series of Securities plus any unused balance of any preceding sinking fund payments made in funds with respect to such series shall exceed $50,000 (or a lesser sum if the Company shall so request, or such equivalent sum for Securities denominated other than in U.S. Dollars), it shall be applied by the Trustee on the sinking fund payment date next following the date of such payment, unless the date of such payment shall be a sinking fund payment date, in which case such payment shall be applied on such sinking fund payment date, to the redemption of Securities of such series at the redemption price specified pursuant to Section 4.03(b). The Trustee shall select, in the manner provided in Section 4.02, for redemption on such sinking fund payment date, a sufficient principal amount of Securities of such series to absorb said funds, as nearly as may be, and shall, at the expense and</w:t>
      </w:r>
    </w:p>
    <w:p>
      <w:pPr>
        <w:spacing w:after="0" w:line="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31</w:t>
      </w:r>
    </w:p>
    <w:p>
      <w:pPr>
        <w:sectPr>
          <w:pgSz w:w="11900" w:h="16838" w:orient="portrait"/>
          <w:cols w:equalWidth="0" w:num="1">
            <w:col w:w="9019"/>
          </w:cols>
          <w:pgMar w:left="1440" w:top="242" w:right="1440" w:bottom="1440" w:gutter="0" w:footer="0" w:header="0"/>
        </w:sectPr>
      </w:pPr>
    </w:p>
    <w:bookmarkStart w:id="65" w:name="page66"/>
    <w:bookmarkEnd w:id="65"/>
    <w:p>
      <w:pPr>
        <w:ind w:left="160" w:right="279"/>
        <w:spacing w:after="0" w:line="259"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8">
                      <a:extLst>
                        <a:ext uri="{28A0092B-C50C-407E-A947-70E740481C1C}"/>
                      </a:extLst>
                    </a:blip>
                    <a:srcRect/>
                    <a:stretch>
                      <a:fillRect/>
                    </a:stretch>
                  </pic:blipFill>
                  <pic:spPr bwMode="auto">
                    <a:xfrm>
                      <a:off x="0" y="0"/>
                      <a:ext cx="7200265" cy="33020"/>
                    </a:xfrm>
                    <a:prstGeom prst="rect">
                      <a:avLst/>
                    </a:prstGeom>
                    <a:noFill/>
                  </pic:spPr>
                </pic:pic>
              </a:graphicData>
            </a:graphic>
          </wp:anchor>
        </w:drawing>
        <w:t>in the name of the Company, thereupon cause notice of redemption, prepared by the Company, of the Securities to be given in substantially the manner provided in Section 4.03(a) for the redemption of Securities in part at the option of the Company, except that the notice of redemption shall also state that the Securities are being redeemed for the sinking fund. Any sinking fund moneys not so applied by the Trustee to the redemption of Securities of such series shall be added to the next sinking fund payment received in funds by the Trustee and, together with such payment, shall be applied in accordance with the provisions of this Section 5.04. Any and all sinking fund moneys held by the Trustee on the last sinking fund payment date with respect to Securities of such series, and not held for the payment or redemption of particular Securities of such series, shall be applied by the Trustee to the payment of the principal of the Securities of such series at Maturity.</w:t>
      </w:r>
    </w:p>
    <w:p>
      <w:pPr>
        <w:spacing w:after="0" w:line="146" w:lineRule="exact"/>
        <w:rPr>
          <w:sz w:val="20"/>
          <w:szCs w:val="20"/>
          <w:color w:val="auto"/>
        </w:rPr>
      </w:pPr>
    </w:p>
    <w:p>
      <w:pPr>
        <w:ind w:left="160" w:right="519" w:firstLine="784"/>
        <w:spacing w:after="0" w:line="288" w:lineRule="auto"/>
        <w:tabs>
          <w:tab w:leader="none" w:pos="1142" w:val="left"/>
        </w:tabs>
        <w:numPr>
          <w:ilvl w:val="0"/>
          <w:numId w:val="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or prior to each sinking fund payment date, the Company shall pay to the Trustee a sum equal to all interest accrued to but not including the date fixed for redemption on Securities to be redeemed on such sinking fund payment date pursuant to this Section 5.04.</w:t>
      </w:r>
    </w:p>
    <w:p>
      <w:pPr>
        <w:spacing w:after="0" w:line="124" w:lineRule="exact"/>
        <w:rPr>
          <w:rFonts w:ascii="Times New Roman" w:cs="Times New Roman" w:eastAsia="Times New Roman" w:hAnsi="Times New Roman"/>
          <w:sz w:val="14"/>
          <w:szCs w:val="14"/>
          <w:color w:val="auto"/>
        </w:rPr>
      </w:pPr>
    </w:p>
    <w:p>
      <w:pPr>
        <w:ind w:left="160" w:right="179" w:firstLine="784"/>
        <w:spacing w:after="0" w:line="257" w:lineRule="auto"/>
        <w:tabs>
          <w:tab w:leader="none" w:pos="1134" w:val="left"/>
        </w:tabs>
        <w:numPr>
          <w:ilvl w:val="0"/>
          <w:numId w:val="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Trustee shall not redeem any Securities of a series with sinking fund moneys or mail any notice of redemption of Securities of such series by operation of the sinking fund during the continuance of a Default in payment of interest on any Securities of such series or of any Event of Default (other than an Event of Default occurring as a consequence of this paragraph) of which a Responsible Officer of the Trustee has actual knowledge, except that if the notice of redemption of any Securities of such series shall theretofore have been mailed in accordance with the provisions hereof, the Trustee shall redeem such Securities if funds sufficient for that purpose shall be deposited with the Trustee in accordance with the terms of this Article. Except as aforesaid, any moneys in the sinking fund at the time any such Default or Event of Default shall occur and any moneys thereafter paid into the sinking fund shall, during the continuance of such Default or Event of Default, be held as security for the payment of all the Securities of such series; provided, however, that in case such Default or Event of Default shall have been cured or waived as provided herein, such moneys shall thereafter be applied on the next sinking fund payment date on which such moneys are required to be applied pursuant to the provisions of this Section 5.04.</w:t>
      </w: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ARTICLE VI</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u w:val="single" w:color="auto"/>
          <w:color w:val="auto"/>
        </w:rPr>
        <w:t>PARTICULAR COVENANTS OF THE COMPANY</w:t>
      </w:r>
    </w:p>
    <w:p>
      <w:pPr>
        <w:spacing w:after="0" w:line="18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The Company hereby covenants and agrees as follows:</w:t>
      </w:r>
    </w:p>
    <w:p>
      <w:pPr>
        <w:spacing w:after="0" w:line="94" w:lineRule="exact"/>
        <w:rPr>
          <w:sz w:val="20"/>
          <w:szCs w:val="20"/>
          <w:color w:val="auto"/>
        </w:rPr>
      </w:pPr>
    </w:p>
    <w:p>
      <w:pPr>
        <w:ind w:left="160" w:right="199" w:firstLine="347"/>
        <w:spacing w:after="0" w:line="288" w:lineRule="auto"/>
        <w:rPr>
          <w:sz w:val="20"/>
          <w:szCs w:val="20"/>
          <w:color w:val="auto"/>
        </w:rPr>
      </w:pPr>
      <w:r>
        <w:rPr>
          <w:rFonts w:ascii="Times New Roman" w:cs="Times New Roman" w:eastAsia="Times New Roman" w:hAnsi="Times New Roman"/>
          <w:sz w:val="14"/>
          <w:szCs w:val="14"/>
          <w:color w:val="auto"/>
        </w:rPr>
        <w:t xml:space="preserve">Section 6.01 </w:t>
      </w:r>
      <w:r>
        <w:rPr>
          <w:rFonts w:ascii="Times New Roman" w:cs="Times New Roman" w:eastAsia="Times New Roman" w:hAnsi="Times New Roman"/>
          <w:sz w:val="14"/>
          <w:szCs w:val="14"/>
          <w:u w:val="single" w:color="auto"/>
          <w:color w:val="auto"/>
        </w:rPr>
        <w:t>Payments of Securities</w:t>
      </w:r>
      <w:r>
        <w:rPr>
          <w:rFonts w:ascii="Times New Roman" w:cs="Times New Roman" w:eastAsia="Times New Roman" w:hAnsi="Times New Roman"/>
          <w:sz w:val="14"/>
          <w:szCs w:val="14"/>
          <w:color w:val="auto"/>
        </w:rPr>
        <w:t>. The Company will duly and punctually pay the principal of and premium, if any, on each series of Securities, and the interest which shall have accrued thereon, at the dates and place and in the manner provided in the Securities and in this Indenture.</w:t>
      </w:r>
    </w:p>
    <w:p>
      <w:pPr>
        <w:spacing w:after="0" w:line="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32</w:t>
      </w:r>
    </w:p>
    <w:p>
      <w:pPr>
        <w:sectPr>
          <w:pgSz w:w="11900" w:h="16838" w:orient="portrait"/>
          <w:cols w:equalWidth="0" w:num="1">
            <w:col w:w="9019"/>
          </w:cols>
          <w:pgMar w:left="1440" w:top="242" w:right="1440" w:bottom="1440" w:gutter="0" w:footer="0" w:header="0"/>
        </w:sectPr>
      </w:pPr>
    </w:p>
    <w:bookmarkStart w:id="66" w:name="page67"/>
    <w:bookmarkEnd w:id="66"/>
    <w:p>
      <w:pPr>
        <w:ind w:left="520"/>
        <w:spacing w:after="0"/>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9">
                      <a:extLst>
                        <a:ext uri="{28A0092B-C50C-407E-A947-70E740481C1C}"/>
                      </a:extLst>
                    </a:blip>
                    <a:srcRect/>
                    <a:stretch>
                      <a:fillRect/>
                    </a:stretch>
                  </pic:blipFill>
                  <pic:spPr bwMode="auto">
                    <a:xfrm>
                      <a:off x="0" y="0"/>
                      <a:ext cx="7200265" cy="33020"/>
                    </a:xfrm>
                    <a:prstGeom prst="rect">
                      <a:avLst/>
                    </a:prstGeom>
                    <a:noFill/>
                  </pic:spPr>
                </pic:pic>
              </a:graphicData>
            </a:graphic>
          </wp:anchor>
        </w:drawing>
        <w:t xml:space="preserve">Section 6.02 </w:t>
      </w:r>
      <w:r>
        <w:rPr>
          <w:rFonts w:ascii="Times New Roman" w:cs="Times New Roman" w:eastAsia="Times New Roman" w:hAnsi="Times New Roman"/>
          <w:sz w:val="14"/>
          <w:szCs w:val="14"/>
          <w:u w:val="single" w:color="auto"/>
          <w:color w:val="auto"/>
        </w:rPr>
        <w:t>Paying Agent</w:t>
      </w:r>
      <w:r>
        <w:rPr>
          <w:rFonts w:ascii="Times New Roman" w:cs="Times New Roman" w:eastAsia="Times New Roman" w:hAnsi="Times New Roman"/>
          <w:sz w:val="14"/>
          <w:szCs w:val="14"/>
          <w:color w:val="auto"/>
        </w:rPr>
        <w:t>.</w:t>
      </w:r>
    </w:p>
    <w:p>
      <w:pPr>
        <w:spacing w:after="0" w:line="179" w:lineRule="exact"/>
        <w:rPr>
          <w:sz w:val="20"/>
          <w:szCs w:val="20"/>
          <w:color w:val="auto"/>
        </w:rPr>
      </w:pPr>
    </w:p>
    <w:p>
      <w:pPr>
        <w:ind w:left="160" w:right="219" w:firstLine="784"/>
        <w:spacing w:after="0" w:line="259" w:lineRule="auto"/>
        <w:tabs>
          <w:tab w:leader="none" w:pos="1134" w:val="left"/>
        </w:tabs>
        <w:numPr>
          <w:ilvl w:val="0"/>
          <w:numId w:val="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will maintain in each Place of Payment for any series of Securities an office or agency where Securities may be presented or surrendered for payment, where Securities of such series may be surrendered for registration of transfer or exchange and where notices and demands to or upon the Company in respect of the Securities and this Indenture may be served (the “Paying Agent”). The Company will give prompt written notice to the Trustee of the location, and any change in the location, of such office or agency. If at any time the Company shall fail to maintain any such required office or agency or shall fail to furnish the Trustee with the address thereof, such presentations, surrenders, notices and demands (but not service of process) may be made to the Trustee, and the Company hereby appoints the Trustee as Paying Agent to receive all presentations, surrenders, notices and demands.</w:t>
      </w:r>
    </w:p>
    <w:p>
      <w:pPr>
        <w:spacing w:after="0" w:line="145" w:lineRule="exact"/>
        <w:rPr>
          <w:rFonts w:ascii="Times New Roman" w:cs="Times New Roman" w:eastAsia="Times New Roman" w:hAnsi="Times New Roman"/>
          <w:sz w:val="14"/>
          <w:szCs w:val="14"/>
          <w:color w:val="auto"/>
        </w:rPr>
      </w:pPr>
    </w:p>
    <w:p>
      <w:pPr>
        <w:ind w:left="160" w:right="239" w:firstLine="784"/>
        <w:spacing w:after="0" w:line="259" w:lineRule="auto"/>
        <w:tabs>
          <w:tab w:leader="none" w:pos="1142" w:val="left"/>
        </w:tabs>
        <w:numPr>
          <w:ilvl w:val="0"/>
          <w:numId w:val="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may also from time to time designate different or additional offices or agencies where the Securities of any series may be presented or surrendered for any or all such purposes (in or outside of such Place of Payment), and may from time to time rescind any such designations; provided, however, that no such designation or rescission shall in any manner relieve the Company of its obligations described in the preceding paragraph. The Company will give prompt written notice to the Trustee of any such additional designation or rescission of designation and of any change in the location of any such different or additional office or agency. The Company shall enter into an appropriate agency agreement with any Paying Agent not a party to this Indenture. The agreement shall implement the provisions of this Indenture that relate to such agent. The Company shall notify the Trustee of the name and address of each such agent. The Company or any Affiliate thereof may act as Paying Agent.</w:t>
      </w:r>
    </w:p>
    <w:p>
      <w:pPr>
        <w:spacing w:after="0" w:line="14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 xml:space="preserve">Section 6.03 </w:t>
      </w:r>
      <w:r>
        <w:rPr>
          <w:rFonts w:ascii="Times New Roman" w:cs="Times New Roman" w:eastAsia="Times New Roman" w:hAnsi="Times New Roman"/>
          <w:sz w:val="14"/>
          <w:szCs w:val="14"/>
          <w:u w:val="single" w:color="auto"/>
          <w:color w:val="auto"/>
        </w:rPr>
        <w:t>To Hold Payment in Trust</w:t>
      </w:r>
      <w:r>
        <w:rPr>
          <w:rFonts w:ascii="Times New Roman" w:cs="Times New Roman" w:eastAsia="Times New Roman" w:hAnsi="Times New Roman"/>
          <w:sz w:val="14"/>
          <w:szCs w:val="14"/>
          <w:color w:val="auto"/>
        </w:rPr>
        <w:t>.</w:t>
      </w:r>
    </w:p>
    <w:p>
      <w:pPr>
        <w:spacing w:after="0" w:line="179" w:lineRule="exact"/>
        <w:rPr>
          <w:sz w:val="20"/>
          <w:szCs w:val="20"/>
          <w:color w:val="auto"/>
        </w:rPr>
      </w:pPr>
    </w:p>
    <w:p>
      <w:pPr>
        <w:ind w:left="160" w:right="179" w:firstLine="784"/>
        <w:spacing w:after="0" w:line="259" w:lineRule="auto"/>
        <w:tabs>
          <w:tab w:leader="none" w:pos="1134" w:val="left"/>
        </w:tabs>
        <w:numPr>
          <w:ilvl w:val="0"/>
          <w:numId w:val="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the Company or an Affiliate thereof shall at any time act as Paying Agent with respect to any series of Securities, then, on or before the date on which the principal of and premium, if any, or interest on any of the Securities of that series by their terms or as a result of the calling thereof for redemption shall become payable, the Company or such Affiliate will segregate and hold in trust for the benefit of the Holders of such Securities or the Trustee a sum sufficient to pay such principal and premium, if any, or interest which shall have so become payable until such sums shall be paid to such Holders or otherwise disposed of as herein provided, and will notify the Trustee of its action or failure to act in that regard. Upon any proceeding under any federal bankruptcy laws with respect to the Company or any Affiliate thereof, if the Company or such Affiliate is then acting as Paying Agent, the Trustee shall replace the Company or such Affiliate as Paying Agent.</w:t>
      </w:r>
    </w:p>
    <w:p>
      <w:pPr>
        <w:spacing w:after="0" w:line="145" w:lineRule="exact"/>
        <w:rPr>
          <w:rFonts w:ascii="Times New Roman" w:cs="Times New Roman" w:eastAsia="Times New Roman" w:hAnsi="Times New Roman"/>
          <w:sz w:val="14"/>
          <w:szCs w:val="14"/>
          <w:color w:val="auto"/>
        </w:rPr>
      </w:pPr>
    </w:p>
    <w:p>
      <w:pPr>
        <w:ind w:left="160" w:right="199" w:firstLine="784"/>
        <w:spacing w:after="0" w:line="260" w:lineRule="auto"/>
        <w:tabs>
          <w:tab w:leader="none" w:pos="1142" w:val="left"/>
        </w:tabs>
        <w:numPr>
          <w:ilvl w:val="0"/>
          <w:numId w:val="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the Company shall appoint, and at the time have, a Paying Agent for the payment of the principal of and premium, if any, or interest on any series of Securities, then prior to 11:00 a.m., New York City time, on the date on which the principal of and premium, if any, or interest on any of the Securities of that series shall become payable as aforesaid, whether by their terms or as a result of the calling thereof for redemption, the Company will deposit with such Paying Agent a sum sufficient to pay such principal and premium, if any, or interest, such sum to be held in trust for the benefit of the Holders of such Securities or the Trustee, and (unless such Paying Agent is the Trustee), the Company or any other obligor of such Securities will promptly notify the Trustee of its payment or failure to make such payment.</w:t>
      </w:r>
    </w:p>
    <w:p>
      <w:pPr>
        <w:spacing w:after="0" w:line="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33</w:t>
      </w:r>
    </w:p>
    <w:p>
      <w:pPr>
        <w:sectPr>
          <w:pgSz w:w="11900" w:h="16838" w:orient="portrait"/>
          <w:cols w:equalWidth="0" w:num="1">
            <w:col w:w="9019"/>
          </w:cols>
          <w:pgMar w:left="1440" w:top="242" w:right="1440" w:bottom="1440" w:gutter="0" w:footer="0" w:header="0"/>
        </w:sectPr>
      </w:pPr>
    </w:p>
    <w:bookmarkStart w:id="67" w:name="page68"/>
    <w:bookmarkEnd w:id="67"/>
    <w:p>
      <w:pPr>
        <w:ind w:left="160" w:right="219" w:firstLine="784"/>
        <w:spacing w:after="0" w:line="288" w:lineRule="auto"/>
        <w:tabs>
          <w:tab w:leader="none" w:pos="1134" w:val="left"/>
        </w:tabs>
        <w:numPr>
          <w:ilvl w:val="0"/>
          <w:numId w:val="5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0">
                      <a:extLst>
                        <a:ext uri="{28A0092B-C50C-407E-A947-70E740481C1C}"/>
                      </a:extLst>
                    </a:blip>
                    <a:srcRect/>
                    <a:stretch>
                      <a:fillRect/>
                    </a:stretch>
                  </pic:blipFill>
                  <pic:spPr bwMode="auto">
                    <a:xfrm>
                      <a:off x="0" y="0"/>
                      <a:ext cx="7200265" cy="33020"/>
                    </a:xfrm>
                    <a:prstGeom prst="rect">
                      <a:avLst/>
                    </a:prstGeom>
                    <a:noFill/>
                  </pic:spPr>
                </pic:pic>
              </a:graphicData>
            </a:graphic>
          </wp:anchor>
        </w:drawing>
        <w:t>If the Paying Agent shall be other than the Trustee, the Company will cause such Paying Agent to execute and deliver to the Trustee an instrument in which such Paying Agent shall agree with the Trustee, subject to the provisions of this Section 6.03, that such Paying Agent shall:</w:t>
      </w:r>
    </w:p>
    <w:p>
      <w:pPr>
        <w:spacing w:after="0" w:line="39" w:lineRule="exact"/>
        <w:rPr>
          <w:rFonts w:ascii="Times New Roman" w:cs="Times New Roman" w:eastAsia="Times New Roman" w:hAnsi="Times New Roman"/>
          <w:sz w:val="14"/>
          <w:szCs w:val="14"/>
          <w:color w:val="auto"/>
        </w:rPr>
      </w:pPr>
    </w:p>
    <w:p>
      <w:pPr>
        <w:jc w:val="both"/>
        <w:ind w:left="520" w:right="379" w:firstLine="740"/>
        <w:spacing w:after="0" w:line="288" w:lineRule="auto"/>
        <w:tabs>
          <w:tab w:leader="none" w:pos="1439" w:val="left"/>
        </w:tabs>
        <w:numPr>
          <w:ilvl w:val="1"/>
          <w:numId w:val="5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hold all moneys held by it for the payment of the principal of and premium, if any, or interest on the Securities of that series in trust for the benefit of the Holders of such Securities until such sums shall be paid to such Holders or otherwise disposed of as herein provided;</w:t>
      </w:r>
    </w:p>
    <w:p>
      <w:pPr>
        <w:spacing w:after="0" w:line="39" w:lineRule="exact"/>
        <w:rPr>
          <w:rFonts w:ascii="Times New Roman" w:cs="Times New Roman" w:eastAsia="Times New Roman" w:hAnsi="Times New Roman"/>
          <w:sz w:val="14"/>
          <w:szCs w:val="14"/>
          <w:color w:val="auto"/>
        </w:rPr>
      </w:pPr>
    </w:p>
    <w:p>
      <w:pPr>
        <w:ind w:left="520" w:right="279" w:firstLine="740"/>
        <w:spacing w:after="0" w:line="288" w:lineRule="auto"/>
        <w:tabs>
          <w:tab w:leader="none" w:pos="1479" w:val="left"/>
        </w:tabs>
        <w:numPr>
          <w:ilvl w:val="1"/>
          <w:numId w:val="5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give to the Trustee notice of any Default by the Company or any other obligor upon the Securities of that series in the making of any payment of the principal of and premium, if any, or interest on the Securities of that series; and</w:t>
      </w:r>
    </w:p>
    <w:p>
      <w:pPr>
        <w:spacing w:after="0" w:line="39" w:lineRule="exact"/>
        <w:rPr>
          <w:rFonts w:ascii="Times New Roman" w:cs="Times New Roman" w:eastAsia="Times New Roman" w:hAnsi="Times New Roman"/>
          <w:sz w:val="14"/>
          <w:szCs w:val="14"/>
          <w:color w:val="auto"/>
        </w:rPr>
      </w:pPr>
    </w:p>
    <w:p>
      <w:pPr>
        <w:ind w:left="520" w:right="379" w:firstLine="740"/>
        <w:spacing w:after="0" w:line="288" w:lineRule="auto"/>
        <w:tabs>
          <w:tab w:leader="none" w:pos="1518" w:val="left"/>
        </w:tabs>
        <w:numPr>
          <w:ilvl w:val="1"/>
          <w:numId w:val="5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at any time during the continuance of any such Default, upon the written request of the Trustee, pay to the Trustee all sums so held in trust by such Paying Agent.</w:t>
      </w:r>
    </w:p>
    <w:p>
      <w:pPr>
        <w:spacing w:after="0" w:line="124" w:lineRule="exact"/>
        <w:rPr>
          <w:rFonts w:ascii="Times New Roman" w:cs="Times New Roman" w:eastAsia="Times New Roman" w:hAnsi="Times New Roman"/>
          <w:sz w:val="14"/>
          <w:szCs w:val="14"/>
          <w:color w:val="auto"/>
        </w:rPr>
      </w:pPr>
    </w:p>
    <w:p>
      <w:pPr>
        <w:ind w:left="160" w:right="219" w:firstLine="784"/>
        <w:spacing w:after="0" w:line="265" w:lineRule="auto"/>
        <w:tabs>
          <w:tab w:leader="none" w:pos="1142" w:val="left"/>
        </w:tabs>
        <w:numPr>
          <w:ilvl w:val="0"/>
          <w:numId w:val="5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Anything in this Section 6.03 to the contrary notwithstanding, the Company may at any time, for the purpose of obtaining a release, satisfaction or discharge of this Indenture or for any other reason, pay or cause to be paid to the Trustee all sums held in trust by the Company or by any Paying Agent other than the Trustee as required by this Section 6.03, such sums to be held by the Trustee upon the same trusts as those upon which such sums were held by the Company or such Paying Agent.</w:t>
      </w:r>
    </w:p>
    <w:p>
      <w:pPr>
        <w:spacing w:after="0" w:line="140" w:lineRule="exact"/>
        <w:rPr>
          <w:rFonts w:ascii="Times New Roman" w:cs="Times New Roman" w:eastAsia="Times New Roman" w:hAnsi="Times New Roman"/>
          <w:sz w:val="14"/>
          <w:szCs w:val="14"/>
          <w:color w:val="auto"/>
        </w:rPr>
      </w:pPr>
    </w:p>
    <w:p>
      <w:pPr>
        <w:ind w:left="160" w:right="179" w:firstLine="784"/>
        <w:spacing w:after="0" w:line="260" w:lineRule="auto"/>
        <w:tabs>
          <w:tab w:leader="none" w:pos="1134" w:val="left"/>
        </w:tabs>
        <w:numPr>
          <w:ilvl w:val="0"/>
          <w:numId w:val="5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money deposited with the Trustee or any Paying Agent, or then held by the Company, in trust for the payment of the principal of and premium, if any, or interest on any Security of any series and remaining unclaimed for two years after such principal and premium, if any, or interest has become due and payable shall be paid to the Company upon Company Order along with any interest that has accumulated thereon as a result of such money being invested at the direction of the Company, or (if then held by the Company) shall be discharged from such trust, and the Holder of such Security shall thereafter, as an unsecured general creditor, look only to the Company for payment of such amounts without interest thereon, and all liability of the Trustee or such Paying Agent with respect to such trust money, and all liability of the Company as trustee thereof, shall thereupon cease.</w:t>
      </w:r>
    </w:p>
    <w:p>
      <w:pPr>
        <w:spacing w:after="0" w:line="145" w:lineRule="exact"/>
        <w:rPr>
          <w:sz w:val="20"/>
          <w:szCs w:val="20"/>
          <w:color w:val="auto"/>
        </w:rPr>
      </w:pPr>
    </w:p>
    <w:p>
      <w:pPr>
        <w:ind w:left="160" w:right="319" w:firstLine="347"/>
        <w:spacing w:after="0" w:line="288" w:lineRule="auto"/>
        <w:rPr>
          <w:sz w:val="20"/>
          <w:szCs w:val="20"/>
          <w:color w:val="auto"/>
        </w:rPr>
      </w:pPr>
      <w:r>
        <w:rPr>
          <w:rFonts w:ascii="Times New Roman" w:cs="Times New Roman" w:eastAsia="Times New Roman" w:hAnsi="Times New Roman"/>
          <w:sz w:val="14"/>
          <w:szCs w:val="14"/>
          <w:color w:val="auto"/>
        </w:rPr>
        <w:t xml:space="preserve">Section 6.04 </w:t>
      </w:r>
      <w:r>
        <w:rPr>
          <w:rFonts w:ascii="Times New Roman" w:cs="Times New Roman" w:eastAsia="Times New Roman" w:hAnsi="Times New Roman"/>
          <w:sz w:val="14"/>
          <w:szCs w:val="14"/>
          <w:u w:val="single" w:color="auto"/>
          <w:color w:val="auto"/>
        </w:rPr>
        <w:t>Merger, Consolidation and Sale of Assets</w:t>
      </w:r>
      <w:r>
        <w:rPr>
          <w:rFonts w:ascii="Times New Roman" w:cs="Times New Roman" w:eastAsia="Times New Roman" w:hAnsi="Times New Roman"/>
          <w:sz w:val="14"/>
          <w:szCs w:val="14"/>
          <w:color w:val="auto"/>
        </w:rPr>
        <w:t>. Except as otherwise provided as contemplated by Section 3.01 with respect to any series of Securities:</w:t>
      </w:r>
    </w:p>
    <w:p>
      <w:pPr>
        <w:spacing w:after="0" w:line="39" w:lineRule="exact"/>
        <w:rPr>
          <w:sz w:val="20"/>
          <w:szCs w:val="20"/>
          <w:color w:val="auto"/>
        </w:rPr>
      </w:pPr>
    </w:p>
    <w:p>
      <w:pPr>
        <w:ind w:left="160" w:right="359" w:firstLine="784"/>
        <w:spacing w:after="0" w:line="262" w:lineRule="auto"/>
        <w:tabs>
          <w:tab w:leader="none" w:pos="1134" w:val="left"/>
        </w:tabs>
        <w:numPr>
          <w:ilvl w:val="0"/>
          <w:numId w:val="6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will not consolidate with any other entity or permit a merger of any other entity into the Company or permit the Company to be merged into any other entity, or sell, convey, transfer or lease all or substantially all its assets to another entity, unless (i) either the Company shall be the continuing entity, or the successor, transferee or lessee entity (if other than the Company) shall be organized and existing under the laws of Mexico, the United States of America, any State thereof or the District of Columbia, Canada, the United Kingdom, Switzerland Spain, the Netherlands, France, or any other country that is a member country of the</w:t>
      </w:r>
    </w:p>
    <w:p>
      <w:pPr>
        <w:spacing w:after="0" w:line="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34</w:t>
      </w:r>
    </w:p>
    <w:p>
      <w:pPr>
        <w:sectPr>
          <w:pgSz w:w="11900" w:h="16838" w:orient="portrait"/>
          <w:cols w:equalWidth="0" w:num="1">
            <w:col w:w="9019"/>
          </w:cols>
          <w:pgMar w:left="1440" w:top="242" w:right="1440" w:bottom="1440" w:gutter="0" w:footer="0" w:header="0"/>
        </w:sectPr>
      </w:pPr>
    </w:p>
    <w:bookmarkStart w:id="68" w:name="page69"/>
    <w:bookmarkEnd w:id="68"/>
    <w:p>
      <w:pPr>
        <w:ind w:left="160" w:right="179"/>
        <w:spacing w:after="0" w:line="259"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1">
                      <a:extLst>
                        <a:ext uri="{28A0092B-C50C-407E-A947-70E740481C1C}"/>
                      </a:extLst>
                    </a:blip>
                    <a:srcRect/>
                    <a:stretch>
                      <a:fillRect/>
                    </a:stretch>
                  </pic:blipFill>
                  <pic:spPr bwMode="auto">
                    <a:xfrm>
                      <a:off x="0" y="0"/>
                      <a:ext cx="7200265" cy="33020"/>
                    </a:xfrm>
                    <a:prstGeom prst="rect">
                      <a:avLst/>
                    </a:prstGeom>
                    <a:noFill/>
                  </pic:spPr>
                </pic:pic>
              </a:graphicData>
            </a:graphic>
          </wp:anchor>
        </w:drawing>
        <w:t>European Union or of the OECD or any political subdivision thereof and expressly assume, by indenture supplemental hereto, executed and delivered by such entity prior to or simultaneously with such consolidation, merger, sale, conveyance, transfer or lease, the due and punctual payment of the principal of and interest and premium, if any, on all the Securities, according to their tenor, and the due and punctual performance and observance of all other obligations to the Holders and the Trustee under this Indenture or under the Securities to be performed or observed by the Company; and</w:t>
      </w:r>
    </w:p>
    <w:p>
      <w:pPr>
        <w:ind w:left="160" w:right="339" w:firstLine="3"/>
        <w:spacing w:after="0" w:line="267" w:lineRule="auto"/>
        <w:tabs>
          <w:tab w:leader="none" w:pos="369" w:val="left"/>
        </w:tabs>
        <w:numPr>
          <w:ilvl w:val="0"/>
          <w:numId w:val="6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immediately after such consolidation, merger, sale, conveyance, transfer or lease the Company or the successor, transferee or lessee entity (if other than the Company) would not be in Default in the performance of any covenant or condition of this Indenture.</w:t>
      </w:r>
    </w:p>
    <w:p>
      <w:pPr>
        <w:spacing w:after="0" w:line="138" w:lineRule="exact"/>
        <w:rPr>
          <w:rFonts w:ascii="Times New Roman" w:cs="Times New Roman" w:eastAsia="Times New Roman" w:hAnsi="Times New Roman"/>
          <w:sz w:val="14"/>
          <w:szCs w:val="14"/>
          <w:color w:val="auto"/>
        </w:rPr>
      </w:pPr>
    </w:p>
    <w:p>
      <w:pPr>
        <w:ind w:left="160" w:right="179" w:firstLine="784"/>
        <w:spacing w:after="0" w:line="257" w:lineRule="auto"/>
        <w:tabs>
          <w:tab w:leader="none" w:pos="1142" w:val="left"/>
        </w:tabs>
        <w:numPr>
          <w:ilvl w:val="1"/>
          <w:numId w:val="6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Upon any consolidation with or merger into any other entity, or any sale, conveyance or transfer lease of all or substantially all of the assets of the Company in accordance with this Section 6.04, the successor entity formed by such consolidation or into or with which the Company is merged or to which the Company is sold or to which such conveyance, transfer or lease is made shall succeed to, and be substituted for, and may exercise every right and power of, the Company under this Indenture with the same effect as if such successor entity had been named as the Company herein, and thereafter, except in the case of a lease, the predecessor Company shall be relieved of all obligations and covenants under this Indenture and the Securities, and from time to time such entity may exercise each and every right and power of the Company under this Indenture, in the name of the Company, or in its own name; and any act or proceeding by any provision of this Indenture required or permitted to be done by the Board of Directors or any officer of the Company may be done with like force and effect by the like board or officer of any entity that shall at the time be the successor of the Company hereunder. In the event of any such sale or conveyance, but not any such lease, the Company (or any successor entity which shall theretofore have become such in the manner described in this Section 6.04) shall be discharged from all obligations and covenants under this Indenture and the Securities and may thereupon be dissolved and liquidated.</w:t>
      </w:r>
    </w:p>
    <w:p>
      <w:pPr>
        <w:spacing w:after="0" w:line="146" w:lineRule="exact"/>
        <w:rPr>
          <w:sz w:val="20"/>
          <w:szCs w:val="20"/>
          <w:color w:val="auto"/>
        </w:rPr>
      </w:pPr>
    </w:p>
    <w:p>
      <w:pPr>
        <w:ind w:left="160" w:right="259" w:firstLine="347"/>
        <w:spacing w:after="0" w:line="262" w:lineRule="auto"/>
        <w:rPr>
          <w:sz w:val="20"/>
          <w:szCs w:val="20"/>
          <w:color w:val="auto"/>
        </w:rPr>
      </w:pPr>
      <w:r>
        <w:rPr>
          <w:rFonts w:ascii="Times New Roman" w:cs="Times New Roman" w:eastAsia="Times New Roman" w:hAnsi="Times New Roman"/>
          <w:sz w:val="14"/>
          <w:szCs w:val="14"/>
          <w:color w:val="auto"/>
        </w:rPr>
        <w:t xml:space="preserve">Section 6.05 </w:t>
      </w:r>
      <w:r>
        <w:rPr>
          <w:rFonts w:ascii="Times New Roman" w:cs="Times New Roman" w:eastAsia="Times New Roman" w:hAnsi="Times New Roman"/>
          <w:sz w:val="14"/>
          <w:szCs w:val="14"/>
          <w:u w:val="single" w:color="auto"/>
          <w:color w:val="auto"/>
        </w:rPr>
        <w:t>Compliance Certificate</w:t>
      </w:r>
      <w:r>
        <w:rPr>
          <w:rFonts w:ascii="Times New Roman" w:cs="Times New Roman" w:eastAsia="Times New Roman" w:hAnsi="Times New Roman"/>
          <w:sz w:val="14"/>
          <w:szCs w:val="14"/>
          <w:color w:val="auto"/>
        </w:rPr>
        <w:t>. Except as otherwise provided as contemplated by Section 3.01 with respect to any series of Securities, the Company shall furnish to the Trustee annually, within 120 days after the end of each fiscal year, a brief certificate from an Officer as to his or her knowledge of the Company’s compliance with all conditions and covenants under this Indenture (which compliance shall be determined without regard to any period of grace or requirement of notice provided under this Indenture) and, in the event of any Default, specifying each such Default and the nature and status thereof of which such person may have knowledge. Such certificates need not comply with Section 16.01 of this Indenture.</w:t>
      </w:r>
    </w:p>
    <w:p>
      <w:pPr>
        <w:spacing w:after="0" w:line="143" w:lineRule="exact"/>
        <w:rPr>
          <w:sz w:val="20"/>
          <w:szCs w:val="20"/>
          <w:color w:val="auto"/>
        </w:rPr>
      </w:pPr>
    </w:p>
    <w:p>
      <w:pPr>
        <w:ind w:left="160" w:right="199" w:firstLine="347"/>
        <w:spacing w:after="0" w:line="260" w:lineRule="auto"/>
        <w:rPr>
          <w:sz w:val="20"/>
          <w:szCs w:val="20"/>
          <w:color w:val="auto"/>
        </w:rPr>
      </w:pPr>
      <w:r>
        <w:rPr>
          <w:rFonts w:ascii="Times New Roman" w:cs="Times New Roman" w:eastAsia="Times New Roman" w:hAnsi="Times New Roman"/>
          <w:sz w:val="14"/>
          <w:szCs w:val="14"/>
          <w:color w:val="auto"/>
        </w:rPr>
        <w:t xml:space="preserve">Section 6.06 </w:t>
      </w:r>
      <w:r>
        <w:rPr>
          <w:rFonts w:ascii="Times New Roman" w:cs="Times New Roman" w:eastAsia="Times New Roman" w:hAnsi="Times New Roman"/>
          <w:sz w:val="14"/>
          <w:szCs w:val="14"/>
          <w:u w:val="single" w:color="auto"/>
          <w:color w:val="auto"/>
        </w:rPr>
        <w:t>Conditional Waiver by Holders of Securities</w:t>
      </w:r>
      <w:r>
        <w:rPr>
          <w:rFonts w:ascii="Times New Roman" w:cs="Times New Roman" w:eastAsia="Times New Roman" w:hAnsi="Times New Roman"/>
          <w:sz w:val="14"/>
          <w:szCs w:val="14"/>
          <w:color w:val="auto"/>
        </w:rPr>
        <w:t>. Anything in this Indenture to the contrary notwithstanding, the Company may fail or omit in any particular instance to comply with a covenant or condition set forth herein with respect to any series of Securities if the Company shall have obtained and filed with the Trustee, prior to the time of such failure or omission, evidence (as provided in Article VIII) of the consent of the Holders of a majority in aggregate principal amount of the Securities of such series at the time Outstanding (except as to a covenant or condition which under Section 14.02 cannot be modified or amended without the consent of the Holder of each Outstanding Security of such series affected, in which case the consent of the Holder of each Outstanding Security of such series affected shall be required),</w:t>
      </w:r>
    </w:p>
    <w:p>
      <w:pPr>
        <w:spacing w:after="0" w:line="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35</w:t>
      </w:r>
    </w:p>
    <w:p>
      <w:pPr>
        <w:sectPr>
          <w:pgSz w:w="11900" w:h="16838" w:orient="portrait"/>
          <w:cols w:equalWidth="0" w:num="1">
            <w:col w:w="9019"/>
          </w:cols>
          <w:pgMar w:left="1440" w:top="242" w:right="1440" w:bottom="1440" w:gutter="0" w:footer="0" w:header="0"/>
        </w:sectPr>
      </w:pPr>
    </w:p>
    <w:bookmarkStart w:id="69" w:name="page70"/>
    <w:bookmarkEnd w:id="69"/>
    <w:p>
      <w:pPr>
        <w:ind w:left="160" w:right="199"/>
        <w:spacing w:after="0" w:line="265"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2">
                      <a:extLst>
                        <a:ext uri="{28A0092B-C50C-407E-A947-70E740481C1C}"/>
                      </a:extLst>
                    </a:blip>
                    <a:srcRect/>
                    <a:stretch>
                      <a:fillRect/>
                    </a:stretch>
                  </pic:blipFill>
                  <pic:spPr bwMode="auto">
                    <a:xfrm>
                      <a:off x="0" y="0"/>
                      <a:ext cx="7200265" cy="33020"/>
                    </a:xfrm>
                    <a:prstGeom prst="rect">
                      <a:avLst/>
                    </a:prstGeom>
                    <a:noFill/>
                  </pic:spPr>
                </pic:pic>
              </a:graphicData>
            </a:graphic>
          </wp:anchor>
        </w:drawing>
        <w:t>either waiving such compliance in such instance or generally waiving compliance with such covenant or condition, but no such waiver shall extend to or affect such covenant or condition except to the extent so expressly waived, or impair any right consequent thereon and, until such waiver shall have become effective, the obligations of the Company and the duties of the Trustee in respect of any such covenant or condition shall remain in full force and effect.</w:t>
      </w:r>
    </w:p>
    <w:p>
      <w:pPr>
        <w:spacing w:after="0" w:line="140" w:lineRule="exact"/>
        <w:rPr>
          <w:sz w:val="20"/>
          <w:szCs w:val="20"/>
          <w:color w:val="auto"/>
        </w:rPr>
      </w:pPr>
    </w:p>
    <w:p>
      <w:pPr>
        <w:ind w:left="160" w:right="179" w:firstLine="347"/>
        <w:spacing w:after="0" w:line="271" w:lineRule="auto"/>
        <w:rPr>
          <w:sz w:val="20"/>
          <w:szCs w:val="20"/>
          <w:color w:val="auto"/>
        </w:rPr>
      </w:pPr>
      <w:r>
        <w:rPr>
          <w:rFonts w:ascii="Times New Roman" w:cs="Times New Roman" w:eastAsia="Times New Roman" w:hAnsi="Times New Roman"/>
          <w:sz w:val="14"/>
          <w:szCs w:val="14"/>
          <w:color w:val="auto"/>
        </w:rPr>
        <w:t xml:space="preserve">Section 6.07 </w:t>
      </w:r>
      <w:r>
        <w:rPr>
          <w:rFonts w:ascii="Times New Roman" w:cs="Times New Roman" w:eastAsia="Times New Roman" w:hAnsi="Times New Roman"/>
          <w:sz w:val="14"/>
          <w:szCs w:val="14"/>
          <w:u w:val="single" w:color="auto"/>
          <w:color w:val="auto"/>
        </w:rPr>
        <w:t>Statement by Officers as to Default</w:t>
      </w:r>
      <w:r>
        <w:rPr>
          <w:rFonts w:ascii="Times New Roman" w:cs="Times New Roman" w:eastAsia="Times New Roman" w:hAnsi="Times New Roman"/>
          <w:sz w:val="14"/>
          <w:szCs w:val="14"/>
          <w:color w:val="auto"/>
        </w:rPr>
        <w:t>. The Company shall deliver to the Trustee within 30 days after the Company becomes aware of the occurrence of any Event of Default or an event which, with the giving of notice or the lapse of time or both, would constitute an Event of Default, an Officer’s Certificate setting forth the details of such Event of Default or Default and the action which the Company proposes to take with respect thereto.</w:t>
      </w:r>
    </w:p>
    <w:p>
      <w:pPr>
        <w:spacing w:after="0" w:line="3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ARTICLE VII</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u w:val="single" w:color="auto"/>
          <w:color w:val="auto"/>
        </w:rPr>
        <w:t>REMEDIES OF TRUSTEE AND SECURITYHOLDERS</w:t>
      </w:r>
    </w:p>
    <w:p>
      <w:pPr>
        <w:spacing w:after="0" w:line="181" w:lineRule="exact"/>
        <w:rPr>
          <w:sz w:val="20"/>
          <w:szCs w:val="20"/>
          <w:color w:val="auto"/>
        </w:rPr>
      </w:pPr>
    </w:p>
    <w:p>
      <w:pPr>
        <w:ind w:left="160" w:right="219" w:firstLine="347"/>
        <w:spacing w:after="0" w:line="271" w:lineRule="auto"/>
        <w:rPr>
          <w:sz w:val="20"/>
          <w:szCs w:val="20"/>
          <w:color w:val="auto"/>
        </w:rPr>
      </w:pPr>
      <w:r>
        <w:rPr>
          <w:rFonts w:ascii="Times New Roman" w:cs="Times New Roman" w:eastAsia="Times New Roman" w:hAnsi="Times New Roman"/>
          <w:sz w:val="14"/>
          <w:szCs w:val="14"/>
          <w:color w:val="auto"/>
        </w:rPr>
        <w:t xml:space="preserve">Section 7.01 </w:t>
      </w:r>
      <w:r>
        <w:rPr>
          <w:rFonts w:ascii="Times New Roman" w:cs="Times New Roman" w:eastAsia="Times New Roman" w:hAnsi="Times New Roman"/>
          <w:sz w:val="14"/>
          <w:szCs w:val="14"/>
          <w:u w:val="single" w:color="auto"/>
          <w:color w:val="auto"/>
        </w:rPr>
        <w:t>Events of Default</w:t>
      </w:r>
      <w:r>
        <w:rPr>
          <w:rFonts w:ascii="Times New Roman" w:cs="Times New Roman" w:eastAsia="Times New Roman" w:hAnsi="Times New Roman"/>
          <w:sz w:val="14"/>
          <w:szCs w:val="14"/>
          <w:color w:val="auto"/>
        </w:rPr>
        <w:t>. Except where otherwise indicated by the context or where the term is otherwise defined for a specific purpose, the term “Event of Default” as used in this Indenture with respect to Securities of any series shall mean any of the following described events unless it is either inapplicable to a particular series or it is specifically deleted or modified in the manner contemplated in Section 3.01:</w:t>
      </w:r>
    </w:p>
    <w:p>
      <w:pPr>
        <w:spacing w:after="0" w:line="50" w:lineRule="exact"/>
        <w:rPr>
          <w:sz w:val="20"/>
          <w:szCs w:val="20"/>
          <w:color w:val="auto"/>
        </w:rPr>
      </w:pPr>
    </w:p>
    <w:p>
      <w:pPr>
        <w:ind w:left="160" w:right="679" w:firstLine="784"/>
        <w:spacing w:after="0" w:line="288" w:lineRule="auto"/>
        <w:tabs>
          <w:tab w:leader="none" w:pos="1134" w:val="left"/>
        </w:tabs>
        <w:numPr>
          <w:ilvl w:val="0"/>
          <w:numId w:val="6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failure of the Company to pay any installment of interest on any Security of such series when and as the same shall become payable, which failure shall have continued unremedied for a period of 30 days;</w:t>
      </w:r>
    </w:p>
    <w:p>
      <w:pPr>
        <w:spacing w:after="0" w:line="124" w:lineRule="exact"/>
        <w:rPr>
          <w:rFonts w:ascii="Times New Roman" w:cs="Times New Roman" w:eastAsia="Times New Roman" w:hAnsi="Times New Roman"/>
          <w:sz w:val="14"/>
          <w:szCs w:val="14"/>
          <w:color w:val="auto"/>
        </w:rPr>
      </w:pPr>
    </w:p>
    <w:p>
      <w:pPr>
        <w:ind w:left="160" w:right="319" w:firstLine="784"/>
        <w:spacing w:after="0" w:line="271" w:lineRule="auto"/>
        <w:tabs>
          <w:tab w:leader="none" w:pos="1142" w:val="left"/>
        </w:tabs>
        <w:numPr>
          <w:ilvl w:val="0"/>
          <w:numId w:val="6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failure of the Company to pay the principal of (and premium, if any, on) any Security of such series, when and as the same shall become payable, whether at Maturity as therein expressed, by call for redemption (otherwise than pursuant to a sinking fund), upon acceleration under this Indenture or otherwise;</w:t>
      </w:r>
    </w:p>
    <w:p>
      <w:pPr>
        <w:spacing w:after="0" w:line="135" w:lineRule="exact"/>
        <w:rPr>
          <w:rFonts w:ascii="Times New Roman" w:cs="Times New Roman" w:eastAsia="Times New Roman" w:hAnsi="Times New Roman"/>
          <w:sz w:val="14"/>
          <w:szCs w:val="14"/>
          <w:color w:val="auto"/>
        </w:rPr>
      </w:pPr>
    </w:p>
    <w:p>
      <w:pPr>
        <w:ind w:left="160" w:right="519" w:firstLine="784"/>
        <w:spacing w:after="0" w:line="288" w:lineRule="auto"/>
        <w:tabs>
          <w:tab w:leader="none" w:pos="1134" w:val="left"/>
        </w:tabs>
        <w:numPr>
          <w:ilvl w:val="0"/>
          <w:numId w:val="6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failure of the Company to pay a sinking fund installment, if any, when and as the same shall become payable by the terms of a Security of such series, which failure shall have continued unremedied for a period of 30 days;</w:t>
      </w:r>
    </w:p>
    <w:p>
      <w:pPr>
        <w:spacing w:after="0" w:line="124" w:lineRule="exact"/>
        <w:rPr>
          <w:rFonts w:ascii="Times New Roman" w:cs="Times New Roman" w:eastAsia="Times New Roman" w:hAnsi="Times New Roman"/>
          <w:sz w:val="14"/>
          <w:szCs w:val="14"/>
          <w:color w:val="auto"/>
        </w:rPr>
      </w:pPr>
    </w:p>
    <w:p>
      <w:pPr>
        <w:ind w:left="160" w:right="239" w:firstLine="784"/>
        <w:spacing w:after="0" w:line="258" w:lineRule="auto"/>
        <w:tabs>
          <w:tab w:leader="none" w:pos="1142" w:val="left"/>
        </w:tabs>
        <w:numPr>
          <w:ilvl w:val="0"/>
          <w:numId w:val="6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failure of the Company, subject to the provisions of Section 6.06, to perform any covenants or satisfy any conditions contained in this Indenture (or the terms of the Securities of such series or a supplemental indenture establishing such series) (other than a covenant or condition which has been expressly included in this Indenture solely for the benefit of a series of Securities other than that series and other than a covenant or condition a default in the performance of which is elsewhere in this Section 7.01 specifically addressed), which failure shall not have been remedied, or without provision deemed to be adequate for the remedying thereof having been made, for a period of 90 days after written notice shall have been given to the Company by the Trustee or shall have been given to the Company and the Trustee by Holders of 25% or more in aggregate principal amount of the Securities of such series then Outstanding, specifying such failure, requiring the Company to remedy the same and stating that such notice is a “Notice of Default” hereunder;</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36</w:t>
      </w:r>
    </w:p>
    <w:p>
      <w:pPr>
        <w:sectPr>
          <w:pgSz w:w="11900" w:h="16838" w:orient="portrait"/>
          <w:cols w:equalWidth="0" w:num="1">
            <w:col w:w="9019"/>
          </w:cols>
          <w:pgMar w:left="1440" w:top="242" w:right="1440" w:bottom="1440" w:gutter="0" w:footer="0" w:header="0"/>
        </w:sectPr>
      </w:pPr>
    </w:p>
    <w:bookmarkStart w:id="70" w:name="page71"/>
    <w:bookmarkEnd w:id="70"/>
    <w:p>
      <w:pPr>
        <w:ind w:left="160" w:right="259" w:firstLine="784"/>
        <w:spacing w:after="0" w:line="262" w:lineRule="auto"/>
        <w:tabs>
          <w:tab w:leader="none" w:pos="1134" w:val="left"/>
        </w:tabs>
        <w:numPr>
          <w:ilvl w:val="0"/>
          <w:numId w:val="6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3">
                      <a:extLst>
                        <a:ext uri="{28A0092B-C50C-407E-A947-70E740481C1C}"/>
                      </a:extLst>
                    </a:blip>
                    <a:srcRect/>
                    <a:stretch>
                      <a:fillRect/>
                    </a:stretch>
                  </pic:blipFill>
                  <pic:spPr bwMode="auto">
                    <a:xfrm>
                      <a:off x="0" y="0"/>
                      <a:ext cx="7200265" cy="33020"/>
                    </a:xfrm>
                    <a:prstGeom prst="rect">
                      <a:avLst/>
                    </a:prstGeom>
                    <a:noFill/>
                  </pic:spPr>
                </pic:pic>
              </a:graphicData>
            </a:graphic>
          </wp:anchor>
        </w:drawing>
        <w:t xml:space="preserve">the entry by a court having jurisdiction in the premises of a decree or order for relief in respect of the Company in an involuntary case under the federal bankruptcy laws, as now or hereafter constituted, or any other applicable federal or state bankruptcy, insolvency, </w:t>
      </w:r>
      <w:r>
        <w:rPr>
          <w:rFonts w:ascii="Times New Roman" w:cs="Times New Roman" w:eastAsia="Times New Roman" w:hAnsi="Times New Roman"/>
          <w:sz w:val="14"/>
          <w:szCs w:val="14"/>
          <w:i w:val="1"/>
          <w:iCs w:val="1"/>
          <w:color w:val="auto"/>
        </w:rPr>
        <w:t>concurso mercantil</w:t>
      </w:r>
      <w:r>
        <w:rPr>
          <w:rFonts w:ascii="Times New Roman" w:cs="Times New Roman" w:eastAsia="Times New Roman" w:hAnsi="Times New Roman"/>
          <w:sz w:val="14"/>
          <w:szCs w:val="14"/>
          <w:color w:val="auto"/>
        </w:rPr>
        <w:t>, reorganization or other similar law now or hereafter in effect, or appointing a receiver, liquidator, assignee, custodian, trustee or sequestrator (or similar official) of the Company or of substantially all the property of the Company or ordering the winding-up or liquidation of its affairs and such decree or order shall remain unstayed and in effect for a period of 90 consecutive days;</w:t>
      </w:r>
    </w:p>
    <w:p>
      <w:pPr>
        <w:spacing w:after="0" w:line="142" w:lineRule="exact"/>
        <w:rPr>
          <w:rFonts w:ascii="Times New Roman" w:cs="Times New Roman" w:eastAsia="Times New Roman" w:hAnsi="Times New Roman"/>
          <w:sz w:val="14"/>
          <w:szCs w:val="14"/>
          <w:color w:val="auto"/>
        </w:rPr>
      </w:pPr>
    </w:p>
    <w:p>
      <w:pPr>
        <w:ind w:left="160" w:right="179" w:firstLine="784"/>
        <w:spacing w:after="0" w:line="260" w:lineRule="auto"/>
        <w:tabs>
          <w:tab w:leader="none" w:pos="1118" w:val="left"/>
        </w:tabs>
        <w:numPr>
          <w:ilvl w:val="0"/>
          <w:numId w:val="6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commencement by the Company of a voluntary case under the federal bankruptcy laws, as now or hereafter constituted, or any other applicable federal or state bankruptcy, insolvency, </w:t>
      </w:r>
      <w:r>
        <w:rPr>
          <w:rFonts w:ascii="Times New Roman" w:cs="Times New Roman" w:eastAsia="Times New Roman" w:hAnsi="Times New Roman"/>
          <w:sz w:val="14"/>
          <w:szCs w:val="14"/>
          <w:i w:val="1"/>
          <w:iCs w:val="1"/>
          <w:color w:val="auto"/>
        </w:rPr>
        <w:t>concurso mercantil</w:t>
      </w:r>
      <w:r>
        <w:rPr>
          <w:rFonts w:ascii="Times New Roman" w:cs="Times New Roman" w:eastAsia="Times New Roman" w:hAnsi="Times New Roman"/>
          <w:sz w:val="14"/>
          <w:szCs w:val="14"/>
          <w:color w:val="auto"/>
        </w:rPr>
        <w:t>, reorganization or other similar law now or hereafter in effect, or the consent by the Company to the entry of an order for relief in an involuntary case under any such law, or the consent by the Company to the appointment of or taking possession by a receiver, liquidator, assignee, trustee, custodian or sequestrator (or similar official) of the Company or of substantially all the property of the Company or the making by it of an assignment for the benefit of creditors or the admission by it in writing of its inability to pay its debts generally as they become due, or the taking of corporate action by the Company in furtherance of any action; or</w:t>
      </w:r>
    </w:p>
    <w:p>
      <w:pPr>
        <w:spacing w:after="0" w:line="145" w:lineRule="exact"/>
        <w:rPr>
          <w:rFonts w:ascii="Times New Roman" w:cs="Times New Roman" w:eastAsia="Times New Roman" w:hAnsi="Times New Roman"/>
          <w:sz w:val="14"/>
          <w:szCs w:val="14"/>
          <w:color w:val="auto"/>
        </w:rPr>
      </w:pPr>
    </w:p>
    <w:p>
      <w:pPr>
        <w:ind w:left="1140" w:hanging="196"/>
        <w:spacing w:after="0"/>
        <w:tabs>
          <w:tab w:leader="none" w:pos="1140" w:val="left"/>
        </w:tabs>
        <w:numPr>
          <w:ilvl w:val="0"/>
          <w:numId w:val="6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occurrence of any other Event of Default with respect to Securities of such series as provided in Section 3.01;</w:t>
      </w:r>
    </w:p>
    <w:p>
      <w:pPr>
        <w:spacing w:after="0" w:line="179" w:lineRule="exact"/>
        <w:rPr>
          <w:sz w:val="20"/>
          <w:szCs w:val="20"/>
          <w:color w:val="auto"/>
        </w:rPr>
      </w:pPr>
    </w:p>
    <w:p>
      <w:pPr>
        <w:ind w:left="160" w:right="299"/>
        <w:spacing w:after="0" w:line="265" w:lineRule="auto"/>
        <w:rPr>
          <w:sz w:val="20"/>
          <w:szCs w:val="20"/>
          <w:color w:val="auto"/>
        </w:rPr>
      </w:pPr>
      <w:r>
        <w:rPr>
          <w:rFonts w:ascii="Times New Roman" w:cs="Times New Roman" w:eastAsia="Times New Roman" w:hAnsi="Times New Roman"/>
          <w:sz w:val="14"/>
          <w:szCs w:val="14"/>
          <w:color w:val="auto"/>
        </w:rPr>
        <w:t>provided, however, that no event described in clause (d) or (other than with respect to a payment default) (g) above shall constitute an Event of Default hereunder until the Trustee or the Holders of 25% or more in aggregate principal amount of the Securities of such series then Outstanding, notify the Company (and the Trustee in case of notice by the Holders) of the Default, specifying the Default, requiring the Company to remedy the same and stating that such notice is a “Notice of Default” hereunder.</w:t>
      </w:r>
    </w:p>
    <w:p>
      <w:pPr>
        <w:spacing w:after="0" w:line="140" w:lineRule="exact"/>
        <w:rPr>
          <w:sz w:val="20"/>
          <w:szCs w:val="20"/>
          <w:color w:val="auto"/>
        </w:rPr>
      </w:pPr>
    </w:p>
    <w:p>
      <w:pPr>
        <w:ind w:left="160" w:right="219" w:firstLine="347"/>
        <w:spacing w:after="0" w:line="257" w:lineRule="auto"/>
        <w:rPr>
          <w:sz w:val="20"/>
          <w:szCs w:val="20"/>
          <w:color w:val="auto"/>
        </w:rPr>
      </w:pPr>
      <w:r>
        <w:rPr>
          <w:rFonts w:ascii="Times New Roman" w:cs="Times New Roman" w:eastAsia="Times New Roman" w:hAnsi="Times New Roman"/>
          <w:sz w:val="14"/>
          <w:szCs w:val="14"/>
          <w:color w:val="auto"/>
        </w:rPr>
        <w:t>Notwithstanding the foregoing provisions of this Section 7.01, if the principal or any premium or interest on any Security is payable in a Currency other than the Currency of the United States and such Currency is not available to the Company for making payment thereof due to the imposition of exchange controls or other circumstances beyond the control of the Company, the Company will be entitled to satisfy its obligations to Holders of the Securities by making such payment in the Currency of the United States in an amount equal to the Currency of the United States equivalent of the amount payable in such other Currency, as determined by the Company’s agent in accordance with Section 3.11(c) hereof by reference to the noon buying rate in The City of New York for cable transfers for such Currency (“Exchange Rate”), as such Exchange Rate is reported or otherwise made available by the Federal Reserve Bank of New York on the date of such payment, or, if such rate is not then available, on the basis of the most recently available Exchange Rate. Notwithstanding the foregoing provisions of this Section 7.01, any payment made under such circumstances in the Currency of the United States where the required payment is in a Currency other than the Currency of the United States will not constitute an Event of Default under this Indenture.</w:t>
      </w:r>
    </w:p>
    <w:p>
      <w:pPr>
        <w:spacing w:after="0" w:line="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37</w:t>
      </w:r>
    </w:p>
    <w:p>
      <w:pPr>
        <w:sectPr>
          <w:pgSz w:w="11900" w:h="16838" w:orient="portrait"/>
          <w:cols w:equalWidth="0" w:num="1">
            <w:col w:w="9019"/>
          </w:cols>
          <w:pgMar w:left="1440" w:top="242" w:right="1440" w:bottom="1440" w:gutter="0" w:footer="0" w:header="0"/>
        </w:sectPr>
      </w:pPr>
    </w:p>
    <w:bookmarkStart w:id="71" w:name="page72"/>
    <w:bookmarkEnd w:id="71"/>
    <w:p>
      <w:pPr>
        <w:ind w:left="520"/>
        <w:spacing w:after="0"/>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4">
                      <a:extLst>
                        <a:ext uri="{28A0092B-C50C-407E-A947-70E740481C1C}"/>
                      </a:extLst>
                    </a:blip>
                    <a:srcRect/>
                    <a:stretch>
                      <a:fillRect/>
                    </a:stretch>
                  </pic:blipFill>
                  <pic:spPr bwMode="auto">
                    <a:xfrm>
                      <a:off x="0" y="0"/>
                      <a:ext cx="7200265" cy="33020"/>
                    </a:xfrm>
                    <a:prstGeom prst="rect">
                      <a:avLst/>
                    </a:prstGeom>
                    <a:noFill/>
                  </pic:spPr>
                </pic:pic>
              </a:graphicData>
            </a:graphic>
          </wp:anchor>
        </w:drawing>
        <w:t xml:space="preserve">Section 7.02 </w:t>
      </w:r>
      <w:r>
        <w:rPr>
          <w:rFonts w:ascii="Times New Roman" w:cs="Times New Roman" w:eastAsia="Times New Roman" w:hAnsi="Times New Roman"/>
          <w:sz w:val="14"/>
          <w:szCs w:val="14"/>
          <w:u w:val="single" w:color="auto"/>
          <w:color w:val="auto"/>
        </w:rPr>
        <w:t>Acceleration; Rescission and Annulment</w:t>
      </w:r>
      <w:r>
        <w:rPr>
          <w:rFonts w:ascii="Times New Roman" w:cs="Times New Roman" w:eastAsia="Times New Roman" w:hAnsi="Times New Roman"/>
          <w:sz w:val="14"/>
          <w:szCs w:val="14"/>
          <w:color w:val="auto"/>
        </w:rPr>
        <w:t>.</w:t>
      </w:r>
    </w:p>
    <w:p>
      <w:pPr>
        <w:spacing w:after="0" w:line="179" w:lineRule="exact"/>
        <w:rPr>
          <w:sz w:val="20"/>
          <w:szCs w:val="20"/>
          <w:color w:val="auto"/>
        </w:rPr>
      </w:pPr>
    </w:p>
    <w:p>
      <w:pPr>
        <w:ind w:left="160" w:right="219" w:firstLine="784"/>
        <w:spacing w:after="0" w:line="256" w:lineRule="auto"/>
        <w:tabs>
          <w:tab w:leader="none" w:pos="1134" w:val="left"/>
        </w:tabs>
        <w:numPr>
          <w:ilvl w:val="0"/>
          <w:numId w:val="6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Except as otherwise provided as contemplated by Section 3.01 with respect to any series of Securities, if any one or more of the above-described Events of Default (other than an Event of Default specified in Section 7.01(e) or 7.01(f)) shall happen with respect to Securities of any series at the time Outstanding, then, and in each and every such case, during the continuance of any such Event of Default, the Trustee or the Holders of 25% or more in principal amount of the Securities of such series then Outstanding may declare the principal (or, if the Securities of that series are Original Issue Discount Securities, such portion of the principal amount as may be specified in the terms of that series) of and all accrued and unpaid interest on all the Securities of such series then Outstanding to be due and payable immediately by a notice in writing to the Company (and to the Trustee if given by Holders), and upon any such acceleration such principal amount (or specified amount) and accrued and unpaid interest thereon shall become immediately due and payable. If an Event of Default specified in Section 7.01(e) or 7.01(f) occurs and is continuing, then in every such case, the principal amount (or, if the Securities of that series are Original Issue Discount Securities, such portion of the principal amount as may be specified by the terms of that series) of and accrued and unpaid interest on all of the Securities of that series then Outstanding shall automatically, and without any acceleration or any other action on the part of the Trustee or any Holder, become due and payable immediately. Upon payment of such amounts in the Currency in which such Securities are denominated (subject to the last paragraph of Section 7.01 and except as otherwise provided pursuant to Section 3.01), all obligations of the Company in respect of the payment of principal of and interest on the Securities of such series shall terminate.</w:t>
      </w:r>
    </w:p>
    <w:p>
      <w:pPr>
        <w:spacing w:after="0" w:line="150" w:lineRule="exact"/>
        <w:rPr>
          <w:rFonts w:ascii="Times New Roman" w:cs="Times New Roman" w:eastAsia="Times New Roman" w:hAnsi="Times New Roman"/>
          <w:sz w:val="14"/>
          <w:szCs w:val="14"/>
          <w:color w:val="auto"/>
        </w:rPr>
      </w:pPr>
    </w:p>
    <w:p>
      <w:pPr>
        <w:ind w:left="160" w:right="219" w:firstLine="784"/>
        <w:spacing w:after="0" w:line="262" w:lineRule="auto"/>
        <w:tabs>
          <w:tab w:leader="none" w:pos="1142" w:val="left"/>
        </w:tabs>
        <w:numPr>
          <w:ilvl w:val="0"/>
          <w:numId w:val="6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provisions of Section 7.02(a), however, are subject to the condition that, at any time after the principal and accrued and unpaid interest on all the Securities of such series, to which any one or more of the above-described Events of Default is applicable, shall have been so declared to be or shall have automatically become due and payable, and before a judgment or decree for payment of the money due has been obtained by the Trustee as hereinafter provided in this Article, Holders of a majority in principal amount of the Securities of that series then Outstanding, by written notice to the Company and the Trustee, may rescind and annul such acceleration if:</w:t>
      </w:r>
    </w:p>
    <w:p>
      <w:pPr>
        <w:spacing w:after="0" w:line="57" w:lineRule="exact"/>
        <w:rPr>
          <w:rFonts w:ascii="Times New Roman" w:cs="Times New Roman" w:eastAsia="Times New Roman" w:hAnsi="Times New Roman"/>
          <w:sz w:val="14"/>
          <w:szCs w:val="14"/>
          <w:color w:val="auto"/>
        </w:rPr>
      </w:pPr>
    </w:p>
    <w:p>
      <w:pPr>
        <w:ind w:left="520" w:right="759" w:firstLine="740"/>
        <w:spacing w:after="0" w:line="288" w:lineRule="auto"/>
        <w:tabs>
          <w:tab w:leader="none" w:pos="1439" w:val="left"/>
        </w:tabs>
        <w:numPr>
          <w:ilvl w:val="1"/>
          <w:numId w:val="6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has paid or deposited with the Trustee or Paying Agent a sum in the Currency in which such Securities are denominated (subject to the last paragraph of Section 7.01 and except as otherwise provided pursuant to Section 3.01) sufficient to pay:</w:t>
      </w:r>
    </w:p>
    <w:p>
      <w:pPr>
        <w:spacing w:after="0" w:line="39" w:lineRule="exact"/>
        <w:rPr>
          <w:rFonts w:ascii="Times New Roman" w:cs="Times New Roman" w:eastAsia="Times New Roman" w:hAnsi="Times New Roman"/>
          <w:sz w:val="14"/>
          <w:szCs w:val="14"/>
          <w:color w:val="auto"/>
        </w:rPr>
      </w:pPr>
    </w:p>
    <w:p>
      <w:pPr>
        <w:ind w:left="940" w:right="399" w:firstLine="1031"/>
        <w:spacing w:after="0" w:line="288" w:lineRule="auto"/>
        <w:tabs>
          <w:tab w:leader="none" w:pos="2199" w:val="left"/>
        </w:tabs>
        <w:numPr>
          <w:ilvl w:val="2"/>
          <w:numId w:val="6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amounts owing the Trustee and any predecessor trustee hereunder under Section 11.01(a) (provided, however, that all sums payable under this clause (A) shall be paid in U.S. Dollars);</w:t>
      </w:r>
    </w:p>
    <w:p>
      <w:pPr>
        <w:spacing w:after="0" w:line="39" w:lineRule="exact"/>
        <w:rPr>
          <w:rFonts w:ascii="Times New Roman" w:cs="Times New Roman" w:eastAsia="Times New Roman" w:hAnsi="Times New Roman"/>
          <w:sz w:val="14"/>
          <w:szCs w:val="14"/>
          <w:color w:val="auto"/>
        </w:rPr>
      </w:pPr>
    </w:p>
    <w:p>
      <w:pPr>
        <w:jc w:val="both"/>
        <w:ind w:left="940" w:right="379" w:firstLine="1031"/>
        <w:spacing w:after="0" w:line="271" w:lineRule="auto"/>
        <w:tabs>
          <w:tab w:leader="none" w:pos="2192" w:val="left"/>
        </w:tabs>
        <w:numPr>
          <w:ilvl w:val="2"/>
          <w:numId w:val="6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accrued and unpaid interest, if any, upon all the Securities of such series with interest thereon to the extent that interest thereon shall be legally enforceable, on any overdue installment of interest at the rate borne by or prescribed in such Securities; and</w:t>
      </w:r>
    </w:p>
    <w:p>
      <w:pPr>
        <w:spacing w:after="0" w:line="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38</w:t>
      </w:r>
    </w:p>
    <w:p>
      <w:pPr>
        <w:sectPr>
          <w:pgSz w:w="11900" w:h="16838" w:orient="portrait"/>
          <w:cols w:equalWidth="0" w:num="1">
            <w:col w:w="9019"/>
          </w:cols>
          <w:pgMar w:left="1440" w:top="242" w:right="1440" w:bottom="1440" w:gutter="0" w:footer="0" w:header="0"/>
        </w:sectPr>
      </w:pPr>
    </w:p>
    <w:bookmarkStart w:id="72" w:name="page73"/>
    <w:bookmarkEnd w:id="72"/>
    <w:p>
      <w:pPr>
        <w:ind w:left="940" w:right="419" w:firstLine="1031"/>
        <w:spacing w:after="0" w:line="271" w:lineRule="auto"/>
        <w:tabs>
          <w:tab w:leader="none" w:pos="2192" w:val="left"/>
        </w:tabs>
        <w:numPr>
          <w:ilvl w:val="2"/>
          <w:numId w:val="6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5">
                      <a:extLst>
                        <a:ext uri="{28A0092B-C50C-407E-A947-70E740481C1C}"/>
                      </a:extLst>
                    </a:blip>
                    <a:srcRect/>
                    <a:stretch>
                      <a:fillRect/>
                    </a:stretch>
                  </pic:blipFill>
                  <pic:spPr bwMode="auto">
                    <a:xfrm>
                      <a:off x="0" y="0"/>
                      <a:ext cx="7200265" cy="33020"/>
                    </a:xfrm>
                    <a:prstGeom prst="rect">
                      <a:avLst/>
                    </a:prstGeom>
                    <a:noFill/>
                  </pic:spPr>
                </pic:pic>
              </a:graphicData>
            </a:graphic>
          </wp:anchor>
        </w:drawing>
        <w:t>the principal of and accrued and unpaid premium, if any, on any Securities of such series that have become due otherwise than by such acceleration with interest thereon to the extent that interest thereon shall be legally enforceable, on any overdue installment of interest at the rate borne by or prescribed in such Securities; and</w:t>
      </w:r>
    </w:p>
    <w:p>
      <w:pPr>
        <w:spacing w:after="0" w:line="50" w:lineRule="exact"/>
        <w:rPr>
          <w:rFonts w:ascii="Times New Roman" w:cs="Times New Roman" w:eastAsia="Times New Roman" w:hAnsi="Times New Roman"/>
          <w:sz w:val="14"/>
          <w:szCs w:val="14"/>
          <w:color w:val="auto"/>
        </w:rPr>
      </w:pPr>
    </w:p>
    <w:p>
      <w:pPr>
        <w:ind w:left="520" w:right="319" w:firstLine="740"/>
        <w:spacing w:after="0" w:line="288" w:lineRule="auto"/>
        <w:tabs>
          <w:tab w:leader="none" w:pos="1479" w:val="left"/>
        </w:tabs>
        <w:numPr>
          <w:ilvl w:val="1"/>
          <w:numId w:val="6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every other Default and Event of Default with respect to Securities of that series, other than the non-payment of the principal of Securities of that series which have become due solely by such acceleration, have been cured or waived as provided in Section 7.06.</w:t>
      </w:r>
    </w:p>
    <w:p>
      <w:pPr>
        <w:spacing w:after="0" w:line="124" w:lineRule="exact"/>
        <w:rPr>
          <w:rFonts w:ascii="Times New Roman" w:cs="Times New Roman" w:eastAsia="Times New Roman" w:hAnsi="Times New Roman"/>
          <w:sz w:val="14"/>
          <w:szCs w:val="14"/>
          <w:color w:val="auto"/>
        </w:rPr>
      </w:pPr>
    </w:p>
    <w:p>
      <w:pPr>
        <w:ind w:left="1140" w:hanging="196"/>
        <w:spacing w:after="0"/>
        <w:tabs>
          <w:tab w:leader="none" w:pos="1140" w:val="left"/>
        </w:tabs>
        <w:numPr>
          <w:ilvl w:val="0"/>
          <w:numId w:val="6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 such rescission shall affect any subsequent default or impair any right consequent thereon.</w:t>
      </w:r>
    </w:p>
    <w:p>
      <w:pPr>
        <w:spacing w:after="0" w:line="179" w:lineRule="exact"/>
        <w:rPr>
          <w:rFonts w:ascii="Times New Roman" w:cs="Times New Roman" w:eastAsia="Times New Roman" w:hAnsi="Times New Roman"/>
          <w:sz w:val="14"/>
          <w:szCs w:val="14"/>
          <w:color w:val="auto"/>
        </w:rPr>
      </w:pPr>
    </w:p>
    <w:p>
      <w:pPr>
        <w:ind w:left="160" w:right="199" w:firstLine="784"/>
        <w:spacing w:after="0" w:line="260" w:lineRule="auto"/>
        <w:tabs>
          <w:tab w:leader="none" w:pos="1142" w:val="left"/>
        </w:tabs>
        <w:numPr>
          <w:ilvl w:val="0"/>
          <w:numId w:val="6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all purposes under this Indenture, if a portion of the principal of any Original Issue Discount Securities shall have been accelerated and declared due and payable pursuant to the provisions hereof, then, from and after such acceleration, unless such acceleration has been rescinded and annulled, the principal amount of such Original Issue Discount Securities shall be deemed, for all purposes hereunder, to be such portion of the principal thereof as shall be due and payable as a result of such acceleration, and payment of such portion of the principal thereof as shall be due and payable as a result of such acceleration, together with interest, if any, thereon and all other amounts owing thereunder, shall constitute payment in full of such Original Issue Discount Securities.</w:t>
      </w:r>
    </w:p>
    <w:p>
      <w:pPr>
        <w:spacing w:after="0" w:line="145" w:lineRule="exact"/>
        <w:rPr>
          <w:sz w:val="20"/>
          <w:szCs w:val="20"/>
          <w:color w:val="auto"/>
        </w:rPr>
      </w:pPr>
    </w:p>
    <w:p>
      <w:pPr>
        <w:ind w:left="160" w:right="179" w:firstLine="347"/>
        <w:spacing w:after="0" w:line="258" w:lineRule="auto"/>
        <w:rPr>
          <w:sz w:val="20"/>
          <w:szCs w:val="20"/>
          <w:color w:val="auto"/>
        </w:rPr>
      </w:pPr>
      <w:r>
        <w:rPr>
          <w:rFonts w:ascii="Times New Roman" w:cs="Times New Roman" w:eastAsia="Times New Roman" w:hAnsi="Times New Roman"/>
          <w:sz w:val="14"/>
          <w:szCs w:val="14"/>
          <w:color w:val="auto"/>
        </w:rPr>
        <w:t xml:space="preserve">Section 7.03 </w:t>
      </w:r>
      <w:r>
        <w:rPr>
          <w:rFonts w:ascii="Times New Roman" w:cs="Times New Roman" w:eastAsia="Times New Roman" w:hAnsi="Times New Roman"/>
          <w:sz w:val="14"/>
          <w:szCs w:val="14"/>
          <w:u w:val="single" w:color="auto"/>
          <w:color w:val="auto"/>
        </w:rPr>
        <w:t>Other Remedies</w:t>
      </w:r>
      <w:r>
        <w:rPr>
          <w:rFonts w:ascii="Times New Roman" w:cs="Times New Roman" w:eastAsia="Times New Roman" w:hAnsi="Times New Roman"/>
          <w:sz w:val="14"/>
          <w:szCs w:val="14"/>
          <w:color w:val="auto"/>
        </w:rPr>
        <w:t>. If the Company shall fail for a period of 30 days to pay any installment of interest on the Securities of any series or shall fail to pay any principal of and premium, if any, on any of the Securities of such series when and as the same shall become due and payable, whether at Maturity, or by call for redemption (other than pursuant to the sinking fund), by acceleration as authorized by this Indenture, or otherwise, or shall fail for a period of 30 days to make any required sinking fund payment as to a series of Securities, then, upon demand of the Trustee, the Company will pay to the Paying Agent for the benefit of the Holders of Securities of such series then Outstanding the whole amount which then shall have become due and payable on all the Securities of such series for principal, premium, if any, and accrued and unpaid interest, with interest (so far as the same may be legally enforceable) on the overdue principal and on the overdue premium, if any, and accrued and unpaid interest at the rate borne by or prescribed in such Securities, and all amounts owing the Trustee and any predecessor trustee hereunder under Section 11.01(a).</w:t>
      </w:r>
    </w:p>
    <w:p>
      <w:pPr>
        <w:spacing w:after="0" w:line="148" w:lineRule="exact"/>
        <w:rPr>
          <w:sz w:val="20"/>
          <w:szCs w:val="20"/>
          <w:color w:val="auto"/>
        </w:rPr>
      </w:pPr>
    </w:p>
    <w:p>
      <w:pPr>
        <w:ind w:left="160" w:right="339" w:firstLine="347"/>
        <w:spacing w:after="0" w:line="260" w:lineRule="auto"/>
        <w:rPr>
          <w:sz w:val="20"/>
          <w:szCs w:val="20"/>
          <w:color w:val="auto"/>
        </w:rPr>
      </w:pPr>
      <w:r>
        <w:rPr>
          <w:rFonts w:ascii="Times New Roman" w:cs="Times New Roman" w:eastAsia="Times New Roman" w:hAnsi="Times New Roman"/>
          <w:sz w:val="14"/>
          <w:szCs w:val="14"/>
          <w:color w:val="auto"/>
        </w:rPr>
        <w:t>In case the Company shall fail forthwith to pay such amounts upon such demand, the Trustee, in its own name and as trustee of an express trust, shall be entitled and empowered to institute any action or proceeding at law or in equity for the collection of the sums so due and unpaid, and may prosecute any such action or proceeding to judgment or final decree, and may enforce any such judgment or final decree against the Company or any other obligor upon the Securities of such series, and collect the moneys adjudged or decreed to be payable out of the property of the Company or any other obligor upon the Securities of such series, wherever situated, in the manner provided by law. Every recovery of judgment in any such action or other</w:t>
      </w:r>
    </w:p>
    <w:p>
      <w:pPr>
        <w:spacing w:after="0" w:line="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39</w:t>
      </w:r>
    </w:p>
    <w:p>
      <w:pPr>
        <w:sectPr>
          <w:pgSz w:w="11900" w:h="16838" w:orient="portrait"/>
          <w:cols w:equalWidth="0" w:num="1">
            <w:col w:w="9019"/>
          </w:cols>
          <w:pgMar w:left="1440" w:top="242" w:right="1440" w:bottom="1440" w:gutter="0" w:footer="0" w:header="0"/>
        </w:sectPr>
      </w:pPr>
    </w:p>
    <w:bookmarkStart w:id="73" w:name="page74"/>
    <w:bookmarkEnd w:id="73"/>
    <w:p>
      <w:pPr>
        <w:jc w:val="both"/>
        <w:ind w:left="160" w:right="299"/>
        <w:spacing w:after="0" w:line="265"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6">
                      <a:extLst>
                        <a:ext uri="{28A0092B-C50C-407E-A947-70E740481C1C}"/>
                      </a:extLst>
                    </a:blip>
                    <a:srcRect/>
                    <a:stretch>
                      <a:fillRect/>
                    </a:stretch>
                  </pic:blipFill>
                  <pic:spPr bwMode="auto">
                    <a:xfrm>
                      <a:off x="0" y="0"/>
                      <a:ext cx="7200265" cy="33020"/>
                    </a:xfrm>
                    <a:prstGeom prst="rect">
                      <a:avLst/>
                    </a:prstGeom>
                    <a:noFill/>
                  </pic:spPr>
                </pic:pic>
              </a:graphicData>
            </a:graphic>
          </wp:anchor>
        </w:drawing>
        <w:t>proceeding, subject to the payment to the Trustee of all amounts owing the Trustee and any predecessor trustee hereunder under Section 11.01(a), shall be for the ratable benefit of the Holders of such series of Securities which shall be the subject of such action or proceeding. All rights of action upon or under any of the Securities or this Indenture may be enforced by the Trustee without the possession of any of the Securities and without the production of any thereof at any trial or any proceeding relative thereto.</w:t>
      </w:r>
    </w:p>
    <w:p>
      <w:pPr>
        <w:spacing w:after="0" w:line="140" w:lineRule="exact"/>
        <w:rPr>
          <w:sz w:val="20"/>
          <w:szCs w:val="20"/>
          <w:color w:val="auto"/>
        </w:rPr>
      </w:pPr>
    </w:p>
    <w:p>
      <w:pPr>
        <w:ind w:left="160" w:right="199" w:firstLine="347"/>
        <w:spacing w:after="0" w:line="256" w:lineRule="auto"/>
        <w:rPr>
          <w:sz w:val="20"/>
          <w:szCs w:val="20"/>
          <w:color w:val="auto"/>
        </w:rPr>
      </w:pPr>
      <w:r>
        <w:rPr>
          <w:rFonts w:ascii="Times New Roman" w:cs="Times New Roman" w:eastAsia="Times New Roman" w:hAnsi="Times New Roman"/>
          <w:sz w:val="14"/>
          <w:szCs w:val="14"/>
          <w:color w:val="auto"/>
        </w:rPr>
        <w:t xml:space="preserve">Section 7.04 </w:t>
      </w:r>
      <w:r>
        <w:rPr>
          <w:rFonts w:ascii="Times New Roman" w:cs="Times New Roman" w:eastAsia="Times New Roman" w:hAnsi="Times New Roman"/>
          <w:sz w:val="14"/>
          <w:szCs w:val="14"/>
          <w:u w:val="single" w:color="auto"/>
          <w:color w:val="auto"/>
        </w:rPr>
        <w:t>Trustee as Attorney-in-Fact</w:t>
      </w:r>
      <w:r>
        <w:rPr>
          <w:rFonts w:ascii="Times New Roman" w:cs="Times New Roman" w:eastAsia="Times New Roman" w:hAnsi="Times New Roman"/>
          <w:sz w:val="14"/>
          <w:szCs w:val="14"/>
          <w:color w:val="auto"/>
        </w:rPr>
        <w:t xml:space="preserve">. The Trustee is hereby appointed, and each and every Holder of the Securities, by receiving and holding the same, shall be conclusively deemed to have appointed the Trustee, the true and lawful attorney-in-fact of such Holder, with authority to make or file (whether or not the Company shall be in Default in respect of the payment of the principal of, premium, if any, or interest on, any of the Securities), in its own name and as trustee of an express trust or otherwise as it shall deem advisable, in any receivership, insolvency, liquidation, bankruptcy, </w:t>
      </w:r>
      <w:r>
        <w:rPr>
          <w:rFonts w:ascii="Times New Roman" w:cs="Times New Roman" w:eastAsia="Times New Roman" w:hAnsi="Times New Roman"/>
          <w:sz w:val="14"/>
          <w:szCs w:val="14"/>
          <w:i w:val="1"/>
          <w:iCs w:val="1"/>
          <w:color w:val="auto"/>
        </w:rPr>
        <w:t>concurso</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mercantil</w:t>
      </w:r>
      <w:r>
        <w:rPr>
          <w:rFonts w:ascii="Times New Roman" w:cs="Times New Roman" w:eastAsia="Times New Roman" w:hAnsi="Times New Roman"/>
          <w:sz w:val="14"/>
          <w:szCs w:val="14"/>
          <w:color w:val="auto"/>
        </w:rPr>
        <w:t>, reorganization or other judicial proceeding relative to the Company or any other obligor upon the Securities or to their respective creditors or</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property, any and all claims, proofs of claim, proofs of debt, petitions, consents, other papers and documents and amendments of any thereof, as may be necessary or advisable in order to have the claims of the Trustee and any predecessor trustee hereunder and of the Holders of the Securities allowed in any such proceeding and to collect and receive any moneys or other property payable or deliverable on any such claim, and to execute and deliver any and all other papers and documents and to do and perform any and all other acts and things, as it may deem necessary or advisable in order to enforce in any such proceeding any of the claims of the Trustee and any predecessor trustee hereunder and of any of such Holders in respect of any of the Securities; and any receiver, assignee, trustee, custodian or debtor in any such proceeding is hereby authorized, and each and every taker or Holder of the Securities, by receiving and holding the same, shall be conclusively deemed to have authorized any such receiver, assignee, trustee, custodian or debtor, to make any such payment or delivery only to or on the order of the Trustee, and to pay to the Trustee any amount due it and any predecessor trustee hereunder under Section 11.01(a); provided, however, that nothing herein contained shall be deemed to authorize or empower the Trustee to consent to or accept or adopt, on behalf of any Holder of Securities, any plan of reorganization or readjustment affecting the Securities or the rights of any Holder thereof, or to authorize or empower the Trustee to vote in respect of the claim of any Holder of any Securities in any such proceeding.</w:t>
      </w:r>
    </w:p>
    <w:p>
      <w:pPr>
        <w:spacing w:after="0" w:line="146" w:lineRule="exact"/>
        <w:rPr>
          <w:sz w:val="20"/>
          <w:szCs w:val="20"/>
          <w:color w:val="auto"/>
        </w:rPr>
      </w:pPr>
    </w:p>
    <w:p>
      <w:pPr>
        <w:ind w:left="160" w:right="479" w:firstLine="347"/>
        <w:spacing w:after="0" w:line="265" w:lineRule="auto"/>
        <w:rPr>
          <w:sz w:val="20"/>
          <w:szCs w:val="20"/>
          <w:color w:val="auto"/>
        </w:rPr>
      </w:pPr>
      <w:r>
        <w:rPr>
          <w:rFonts w:ascii="Times New Roman" w:cs="Times New Roman" w:eastAsia="Times New Roman" w:hAnsi="Times New Roman"/>
          <w:sz w:val="14"/>
          <w:szCs w:val="14"/>
          <w:color w:val="auto"/>
        </w:rPr>
        <w:t xml:space="preserve">Section 7.05 </w:t>
      </w:r>
      <w:r>
        <w:rPr>
          <w:rFonts w:ascii="Times New Roman" w:cs="Times New Roman" w:eastAsia="Times New Roman" w:hAnsi="Times New Roman"/>
          <w:sz w:val="14"/>
          <w:szCs w:val="14"/>
          <w:u w:val="single" w:color="auto"/>
          <w:color w:val="auto"/>
        </w:rPr>
        <w:t>Priorities</w:t>
      </w:r>
      <w:r>
        <w:rPr>
          <w:rFonts w:ascii="Times New Roman" w:cs="Times New Roman" w:eastAsia="Times New Roman" w:hAnsi="Times New Roman"/>
          <w:sz w:val="14"/>
          <w:szCs w:val="14"/>
          <w:color w:val="auto"/>
        </w:rPr>
        <w:t>. Any moneys or properties collected by the Trustee with respect to a series of Securities under this Article VII shall be applied in the order following, at the date or dates fixed by the Trustee for the distribution of such moneys or properties and, in the case of the distribution of such moneys or properties on account of the Securities of any series, upon presentation of the Securities of such series, and stamping thereon the payment, if only partially paid, and upon surrender thereof, if fully paid:</w:t>
      </w:r>
    </w:p>
    <w:p>
      <w:pPr>
        <w:spacing w:after="0" w:line="55"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4"/>
          <w:szCs w:val="14"/>
          <w:color w:val="auto"/>
        </w:rPr>
        <w:t>First: To the payment of all amounts due to the Trustee and any predecessor trustee hereunder under Section 11.01(a).</w:t>
      </w:r>
    </w:p>
    <w:p>
      <w:pPr>
        <w:spacing w:after="0" w:line="94" w:lineRule="exact"/>
        <w:rPr>
          <w:sz w:val="20"/>
          <w:szCs w:val="20"/>
          <w:color w:val="auto"/>
        </w:rPr>
      </w:pPr>
    </w:p>
    <w:p>
      <w:pPr>
        <w:ind w:left="520" w:right="219" w:firstLine="333"/>
        <w:spacing w:after="0" w:line="265" w:lineRule="auto"/>
        <w:rPr>
          <w:sz w:val="20"/>
          <w:szCs w:val="20"/>
          <w:color w:val="auto"/>
        </w:rPr>
      </w:pPr>
      <w:r>
        <w:rPr>
          <w:rFonts w:ascii="Times New Roman" w:cs="Times New Roman" w:eastAsia="Times New Roman" w:hAnsi="Times New Roman"/>
          <w:sz w:val="14"/>
          <w:szCs w:val="14"/>
          <w:color w:val="auto"/>
        </w:rPr>
        <w:t>Second: Subject to Article XV (to the extent applicable to any series of Securities then outstanding), to the payment of the amounts then due and unpaid for principal of and any premium and interest on the Outstanding Securities of such series in respect of which or for the benefit of which such money has been collected, ratably, without preference or priority of any kind, according to the amounts due and payable on such Outstanding Securities for principal and any premium and interest, respectively.</w:t>
      </w:r>
    </w:p>
    <w:p>
      <w:pPr>
        <w:spacing w:after="0" w:line="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40</w:t>
      </w:r>
    </w:p>
    <w:p>
      <w:pPr>
        <w:sectPr>
          <w:pgSz w:w="11900" w:h="16838" w:orient="portrait"/>
          <w:cols w:equalWidth="0" w:num="1">
            <w:col w:w="9019"/>
          </w:cols>
          <w:pgMar w:left="1440" w:top="242" w:right="1440" w:bottom="1440" w:gutter="0" w:footer="0" w:header="0"/>
        </w:sectPr>
      </w:pPr>
    </w:p>
    <w:bookmarkStart w:id="74" w:name="page75"/>
    <w:bookmarkEnd w:id="74"/>
    <w:p>
      <w:pPr>
        <w:ind w:left="160"/>
        <w:spacing w:after="0"/>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7">
                      <a:extLst>
                        <a:ext uri="{28A0092B-C50C-407E-A947-70E740481C1C}"/>
                      </a:extLst>
                    </a:blip>
                    <a:srcRect/>
                    <a:stretch>
                      <a:fillRect/>
                    </a:stretch>
                  </pic:blipFill>
                  <pic:spPr bwMode="auto">
                    <a:xfrm>
                      <a:off x="0" y="0"/>
                      <a:ext cx="7200265" cy="33020"/>
                    </a:xfrm>
                    <a:prstGeom prst="rect">
                      <a:avLst/>
                    </a:prstGeom>
                    <a:noFill/>
                  </pic:spPr>
                </pic:pic>
              </a:graphicData>
            </a:graphic>
          </wp:anchor>
        </w:drawing>
        <w:t>Any surplus then remaining shall be paid to the Company or as directed by a court of competent jurisdiction.</w:t>
      </w:r>
    </w:p>
    <w:p>
      <w:pPr>
        <w:spacing w:after="0" w:line="179" w:lineRule="exact"/>
        <w:rPr>
          <w:sz w:val="20"/>
          <w:szCs w:val="20"/>
          <w:color w:val="auto"/>
        </w:rPr>
      </w:pPr>
    </w:p>
    <w:p>
      <w:pPr>
        <w:ind w:left="160" w:right="199" w:firstLine="347"/>
        <w:spacing w:after="0" w:line="256" w:lineRule="auto"/>
        <w:rPr>
          <w:sz w:val="20"/>
          <w:szCs w:val="20"/>
          <w:color w:val="auto"/>
        </w:rPr>
      </w:pPr>
      <w:r>
        <w:rPr>
          <w:rFonts w:ascii="Times New Roman" w:cs="Times New Roman" w:eastAsia="Times New Roman" w:hAnsi="Times New Roman"/>
          <w:sz w:val="14"/>
          <w:szCs w:val="14"/>
          <w:color w:val="auto"/>
        </w:rPr>
        <w:t xml:space="preserve">Section 7.06 </w:t>
      </w:r>
      <w:r>
        <w:rPr>
          <w:rFonts w:ascii="Times New Roman" w:cs="Times New Roman" w:eastAsia="Times New Roman" w:hAnsi="Times New Roman"/>
          <w:sz w:val="14"/>
          <w:szCs w:val="14"/>
          <w:u w:val="single" w:color="auto"/>
          <w:color w:val="auto"/>
        </w:rPr>
        <w:t>Control by Securityholders; Waiver of Past Defaults</w:t>
      </w:r>
      <w:r>
        <w:rPr>
          <w:rFonts w:ascii="Times New Roman" w:cs="Times New Roman" w:eastAsia="Times New Roman" w:hAnsi="Times New Roman"/>
          <w:sz w:val="14"/>
          <w:szCs w:val="14"/>
          <w:color w:val="auto"/>
        </w:rPr>
        <w:t>. The Holders of a majority in principal amount of the Securities of any series at the time Outstanding may direct the time, method and place of conducting any proceeding for any remedy available to the Trustee hereunder, or of exercising any trust or power hereby conferred upon the Trustee with respect to the Securities of such series, provided, however, that, subject to the provisions of Sections 11.01 and 11.02, the Trustee shall have the right to decline to follow any such direction if the Trustee being advised by counsel determines that the action so directed may not lawfully be taken or would be unduly prejudicial to Holders not joining in such direction or would involve the Trustee in personal liability. Prior to any acceleration of the Maturity of the Securities of any series, the Holders of a majority in aggregate principal amount of such series of Securities at the time Outstanding may on behalf of the Holders of all of the Securities of such series waive any past Default or Event of Default hereunder and its consequences except a continuing Default in the payment of interest or any premium on or the principal of the Securities of such series and except as to a covenant or condition which under Section 14.02 cannot be modified or amended without the consent of the Holder of each Outstanding Security of such series affected, in which case the consent of the Holder of each Outstanding Security of such series affected shall be required for such waiver. Upon any such waiver the Company, the Trustee and the Holders of the Securities of such series shall be restored to their former positions and rights hereunder, respectively; but no such waiver shall extend to any subsequent or other Default or Event of Default or impair any right consequent thereon. Whenever any Default or Event of Default hereunder shall have been waived as permitted by this Section 7.06, said Default or Event of Default shall for all purposes of the Securities of such series and this Indenture be deemed to have been cured and to be not continuing.</w:t>
      </w:r>
    </w:p>
    <w:p>
      <w:pPr>
        <w:spacing w:after="0" w:line="320" w:lineRule="exact"/>
        <w:rPr>
          <w:sz w:val="20"/>
          <w:szCs w:val="20"/>
          <w:color w:val="auto"/>
        </w:rPr>
      </w:pPr>
    </w:p>
    <w:p>
      <w:pPr>
        <w:ind w:left="160" w:right="219" w:firstLine="347"/>
        <w:spacing w:after="0" w:line="257" w:lineRule="auto"/>
        <w:rPr>
          <w:sz w:val="20"/>
          <w:szCs w:val="20"/>
          <w:color w:val="auto"/>
        </w:rPr>
      </w:pPr>
      <w:r>
        <w:rPr>
          <w:rFonts w:ascii="Times New Roman" w:cs="Times New Roman" w:eastAsia="Times New Roman" w:hAnsi="Times New Roman"/>
          <w:sz w:val="14"/>
          <w:szCs w:val="14"/>
          <w:color w:val="auto"/>
        </w:rPr>
        <w:t xml:space="preserve">Section 7.07 </w:t>
      </w:r>
      <w:r>
        <w:rPr>
          <w:rFonts w:ascii="Times New Roman" w:cs="Times New Roman" w:eastAsia="Times New Roman" w:hAnsi="Times New Roman"/>
          <w:sz w:val="14"/>
          <w:szCs w:val="14"/>
          <w:u w:val="single" w:color="auto"/>
          <w:color w:val="auto"/>
        </w:rPr>
        <w:t>Limitation on Suits</w:t>
      </w:r>
      <w:r>
        <w:rPr>
          <w:rFonts w:ascii="Times New Roman" w:cs="Times New Roman" w:eastAsia="Times New Roman" w:hAnsi="Times New Roman"/>
          <w:sz w:val="14"/>
          <w:szCs w:val="14"/>
          <w:color w:val="auto"/>
        </w:rPr>
        <w:t>. No Holder of any Security of any series shall have any right to institute any action, suit or proceeding at law or in equity for the execution of any trust hereunder or for the appointment of a receiver or for any other remedy hereunder, in each case with respect to an Event of Default with respect to such series of Securities, unless such Holder previously shall have given to the Trustee written notice of one or more of the Events of Default herein specified with respect to such series of Securities, and unless also the Holders of 25% or more in principal amount of the Securities of such series then Outstanding shall have requested the Trustee in writing to take action in respect of the matter complained of, and unless also there shall have been offered to the Trustee security and indemnity reasonably satisfactory to it against the costs, expenses and liabilities to be incurred therein or thereby, and the Trustee, for 60 days after receipt of such notification, request and offer of indemnity, shall have neglected or refused to institute any such action, suit or proceeding; and such notification, request and offer of indemnity are hereby declared in every such case to be conditions precedent to any such action, suit or proceeding by any Holder of any Security of such series; it being understood and intended that no one or more of the Holders of Securities of such series shall have any right in any manner whatsoever by his, her, its or their action to enforce any right hereunder, except in</w:t>
      </w: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41</w:t>
      </w:r>
    </w:p>
    <w:p>
      <w:pPr>
        <w:sectPr>
          <w:pgSz w:w="11900" w:h="16838" w:orient="portrait"/>
          <w:cols w:equalWidth="0" w:num="1">
            <w:col w:w="9019"/>
          </w:cols>
          <w:pgMar w:left="1440" w:top="242" w:right="1440" w:bottom="1440" w:gutter="0" w:footer="0" w:header="0"/>
        </w:sectPr>
      </w:pPr>
    </w:p>
    <w:bookmarkStart w:id="75" w:name="page76"/>
    <w:bookmarkEnd w:id="75"/>
    <w:p>
      <w:pPr>
        <w:ind w:left="160" w:right="179"/>
        <w:spacing w:after="0" w:line="262"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8">
                      <a:extLst>
                        <a:ext uri="{28A0092B-C50C-407E-A947-70E740481C1C}"/>
                      </a:extLst>
                    </a:blip>
                    <a:srcRect/>
                    <a:stretch>
                      <a:fillRect/>
                    </a:stretch>
                  </pic:blipFill>
                  <pic:spPr bwMode="auto">
                    <a:xfrm>
                      <a:off x="0" y="0"/>
                      <a:ext cx="7200265" cy="33020"/>
                    </a:xfrm>
                    <a:prstGeom prst="rect">
                      <a:avLst/>
                    </a:prstGeom>
                    <a:noFill/>
                  </pic:spPr>
                </pic:pic>
              </a:graphicData>
            </a:graphic>
          </wp:anchor>
        </w:drawing>
        <w:t>the manner herein provided, and that every action, suit or proceeding at law or in equity shall be instituted, had and maintained in the manner herein provided and for the equal benefit of all Holders of the Outstanding Securities of such series; provided, however, that nothing in this Indenture or in the Securities of such series shall affect or impair the obligation of the Company, which is absolute and unconditional, to pay the principal of, premium, if any, and interest on the Securities of such series to the respective Holders of such Securities at the respective due dates in such Securities stated, or affect or impair the right, which is also absolute and unconditional, of such Holders to institute suit to enforce the payment thereof.</w:t>
      </w:r>
    </w:p>
    <w:p>
      <w:pPr>
        <w:spacing w:after="0" w:line="143" w:lineRule="exact"/>
        <w:rPr>
          <w:sz w:val="20"/>
          <w:szCs w:val="20"/>
          <w:color w:val="auto"/>
        </w:rPr>
      </w:pPr>
    </w:p>
    <w:p>
      <w:pPr>
        <w:ind w:left="160" w:right="179" w:firstLine="347"/>
        <w:spacing w:after="0" w:line="257" w:lineRule="auto"/>
        <w:rPr>
          <w:sz w:val="20"/>
          <w:szCs w:val="20"/>
          <w:color w:val="auto"/>
        </w:rPr>
      </w:pPr>
      <w:r>
        <w:rPr>
          <w:rFonts w:ascii="Times New Roman" w:cs="Times New Roman" w:eastAsia="Times New Roman" w:hAnsi="Times New Roman"/>
          <w:sz w:val="14"/>
          <w:szCs w:val="14"/>
          <w:color w:val="auto"/>
        </w:rPr>
        <w:t xml:space="preserve">Section 7.08 </w:t>
      </w:r>
      <w:r>
        <w:rPr>
          <w:rFonts w:ascii="Times New Roman" w:cs="Times New Roman" w:eastAsia="Times New Roman" w:hAnsi="Times New Roman"/>
          <w:sz w:val="14"/>
          <w:szCs w:val="14"/>
          <w:u w:val="single" w:color="auto"/>
          <w:color w:val="auto"/>
        </w:rPr>
        <w:t>Undertaking for Costs</w:t>
      </w:r>
      <w:r>
        <w:rPr>
          <w:rFonts w:ascii="Times New Roman" w:cs="Times New Roman" w:eastAsia="Times New Roman" w:hAnsi="Times New Roman"/>
          <w:sz w:val="14"/>
          <w:szCs w:val="14"/>
          <w:color w:val="auto"/>
        </w:rPr>
        <w:t>. All parties to this Indenture and each Holder of any Security, by such Holder’s acceptance thereof, shall be deemed to have agreed that any court may in its discretion require, in any action, suit or proceeding for the enforcement of any right or remedy under this Indenture, or in any action, suit or proceeding against the Trustee for any action taken or omitted by it as Trustee, the filing by any party litigant in such action, suit or proceeding of an undertaking to pay the costs of such action, suit or proceeding, and that such court may in its discretion assess reasonable costs, including reasonable attorneys’ fees and expenses, against any party litigant in such action, suit or proceeding, having due regard to the merits and good faith of the claims or defenses made by such party litigant; provided, however, that the provisions of this Section 7.08 shall not apply to any action, suit or proceeding instituted by the Trustee, to any action, suit or proceeding instituted by any one or more Holders of Securities holding in the aggregate more than 10% in principal amount of the Securities of any series Outstanding, or to any action, suit or proceeding instituted by any Holder of Securities of any series for the enforcement of the payment of the principal of or premium, if any, or the interest on, any of the Securities of such series, on or after the respective due dates expressed in such Securities.</w:t>
      </w:r>
    </w:p>
    <w:p>
      <w:pPr>
        <w:spacing w:after="0" w:line="149" w:lineRule="exact"/>
        <w:rPr>
          <w:sz w:val="20"/>
          <w:szCs w:val="20"/>
          <w:color w:val="auto"/>
        </w:rPr>
      </w:pPr>
    </w:p>
    <w:p>
      <w:pPr>
        <w:ind w:left="160" w:right="199" w:firstLine="347"/>
        <w:spacing w:after="0" w:line="256" w:lineRule="auto"/>
        <w:rPr>
          <w:sz w:val="20"/>
          <w:szCs w:val="20"/>
          <w:color w:val="auto"/>
        </w:rPr>
      </w:pPr>
      <w:r>
        <w:rPr>
          <w:rFonts w:ascii="Times New Roman" w:cs="Times New Roman" w:eastAsia="Times New Roman" w:hAnsi="Times New Roman"/>
          <w:sz w:val="14"/>
          <w:szCs w:val="14"/>
          <w:color w:val="auto"/>
        </w:rPr>
        <w:t xml:space="preserve">Section 7.09 </w:t>
      </w:r>
      <w:r>
        <w:rPr>
          <w:rFonts w:ascii="Times New Roman" w:cs="Times New Roman" w:eastAsia="Times New Roman" w:hAnsi="Times New Roman"/>
          <w:sz w:val="14"/>
          <w:szCs w:val="14"/>
          <w:u w:val="single" w:color="auto"/>
          <w:color w:val="auto"/>
        </w:rPr>
        <w:t>Remedies Cumulative</w:t>
      </w:r>
      <w:r>
        <w:rPr>
          <w:rFonts w:ascii="Times New Roman" w:cs="Times New Roman" w:eastAsia="Times New Roman" w:hAnsi="Times New Roman"/>
          <w:sz w:val="14"/>
          <w:szCs w:val="14"/>
          <w:color w:val="auto"/>
        </w:rPr>
        <w:t>. No remedy herein conferred upon or reserved to the Trustee or to the Holders of Securities of any series is intended to be exclusive of any other remedy or remedies, and each and every remedy shall be cumulative and shall be in addition to every other remedy given hereunder or now or hereafter existing at law or in equity or by statute. No delay or omission of the Trustee or of any Holder of the Securities of any series to exercise any right or power accruing upon any Default or Event of Default shall impair any such right or power or shall be construed to be a waiver of any such Default or Event of Default or an acquiescence therein; and every power and remedy given by this Article VII to the Trustee and to the Holders of Securities of any series, respectively, may be exercised from time to time and as often as may be deemed expedient by the Trustee or by the Holders of Securities of such series, as the case may be. In case the Trustee or any Holder of Securities of any series shall have proceeded to enforce any right under this Indenture and the proceedings for the enforcement thereof shall have been discontinued or abandoned because of waiver or for any other reason or shall have been adjudicated adversely to the Trustee or to such Holder of Securities, then and in every such case the Company, the Trustee and the Holders of the Securities of such series shall severally and respectively be restored to their former positions and rights hereunder, and thereafter all rights, remedies and powers of the Trustee and the Holders of the Securities of such series shall continue as though no such proceedings had been taken, except as to any matters so waived or adjudicated.</w:t>
      </w:r>
    </w:p>
    <w:p>
      <w:pPr>
        <w:spacing w:after="0" w:line="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42</w:t>
      </w:r>
    </w:p>
    <w:p>
      <w:pPr>
        <w:sectPr>
          <w:pgSz w:w="11900" w:h="16838" w:orient="portrait"/>
          <w:cols w:equalWidth="0" w:num="1">
            <w:col w:w="9019"/>
          </w:cols>
          <w:pgMar w:left="1440" w:top="242" w:right="1440" w:bottom="1440" w:gutter="0" w:footer="0" w:header="0"/>
        </w:sectPr>
      </w:pPr>
    </w:p>
    <w:bookmarkStart w:id="76" w:name="page77"/>
    <w:bookmarkEnd w:id="76"/>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9">
                      <a:extLst>
                        <a:ext uri="{28A0092B-C50C-407E-A947-70E740481C1C}"/>
                      </a:extLst>
                    </a:blip>
                    <a:srcRect/>
                    <a:stretch>
                      <a:fillRect/>
                    </a:stretch>
                  </pic:blipFill>
                  <pic:spPr bwMode="auto">
                    <a:xfrm>
                      <a:off x="0" y="0"/>
                      <a:ext cx="7200265" cy="33020"/>
                    </a:xfrm>
                    <a:prstGeom prst="rect">
                      <a:avLst/>
                    </a:prstGeom>
                    <a:noFill/>
                  </pic:spPr>
                </pic:pic>
              </a:graphicData>
            </a:graphic>
          </wp:anchor>
        </w:drawing>
        <w:t>ARTICLE VIII</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u w:val="single" w:color="auto"/>
          <w:color w:val="auto"/>
        </w:rPr>
        <w:t>CONCERNING THE SECURITYHOLDERS</w:t>
      </w:r>
    </w:p>
    <w:p>
      <w:pPr>
        <w:spacing w:after="0" w:line="181" w:lineRule="exact"/>
        <w:rPr>
          <w:sz w:val="20"/>
          <w:szCs w:val="20"/>
          <w:color w:val="auto"/>
        </w:rPr>
      </w:pPr>
    </w:p>
    <w:p>
      <w:pPr>
        <w:ind w:left="160" w:right="359" w:firstLine="347"/>
        <w:spacing w:after="0" w:line="258" w:lineRule="auto"/>
        <w:rPr>
          <w:sz w:val="20"/>
          <w:szCs w:val="20"/>
          <w:color w:val="auto"/>
        </w:rPr>
      </w:pPr>
      <w:r>
        <w:rPr>
          <w:rFonts w:ascii="Times New Roman" w:cs="Times New Roman" w:eastAsia="Times New Roman" w:hAnsi="Times New Roman"/>
          <w:sz w:val="14"/>
          <w:szCs w:val="14"/>
          <w:color w:val="auto"/>
        </w:rPr>
        <w:t xml:space="preserve">Section 8.01 </w:t>
      </w:r>
      <w:r>
        <w:rPr>
          <w:rFonts w:ascii="Times New Roman" w:cs="Times New Roman" w:eastAsia="Times New Roman" w:hAnsi="Times New Roman"/>
          <w:sz w:val="14"/>
          <w:szCs w:val="14"/>
          <w:u w:val="single" w:color="auto"/>
          <w:color w:val="auto"/>
        </w:rPr>
        <w:t>Evidence of Action of Securityholders</w:t>
      </w:r>
      <w:r>
        <w:rPr>
          <w:rFonts w:ascii="Times New Roman" w:cs="Times New Roman" w:eastAsia="Times New Roman" w:hAnsi="Times New Roman"/>
          <w:sz w:val="14"/>
          <w:szCs w:val="14"/>
          <w:color w:val="auto"/>
        </w:rPr>
        <w:t>. Whenever in this Indenture it is provided that the Holders of a specified percentage or a majority in aggregate principal amount of the Securities or of any series of Securities may take any action (including the making of any demand or request, the giving of any notice, consent or waiver or the taking of any other action), the fact that at the time of taking any such action the Holders of such specified percentage or majority have joined therein may be evidenced by (a) any instrument or any number of instruments of similar tenor executed by Securityholders in person, by an agent or by a proxy appointed in writing, including through an electronic system for tabulating consents operated by the Depositary for such series or otherwise (such action becoming effective, except as herein otherwise expressly provided, when such instruments or evidence of electronic consents are delivered to the Trustee and, where it is hereby expressly required, to the Company), or (b) by the record of the Holders of Securities voting in favor thereof at any meeting of Securityholders duly called and held in accordance with the provisions of Article IX, or (c) by a combination of such instrument or instruments and any such record of such a meeting of Securityholders.</w:t>
      </w:r>
    </w:p>
    <w:p>
      <w:pPr>
        <w:spacing w:after="0" w:line="145" w:lineRule="exact"/>
        <w:rPr>
          <w:sz w:val="20"/>
          <w:szCs w:val="20"/>
          <w:color w:val="auto"/>
        </w:rPr>
      </w:pPr>
    </w:p>
    <w:p>
      <w:pPr>
        <w:ind w:left="160" w:right="339" w:firstLine="347"/>
        <w:spacing w:after="0" w:line="288" w:lineRule="auto"/>
        <w:rPr>
          <w:sz w:val="20"/>
          <w:szCs w:val="20"/>
          <w:color w:val="auto"/>
        </w:rPr>
      </w:pPr>
      <w:r>
        <w:rPr>
          <w:rFonts w:ascii="Times New Roman" w:cs="Times New Roman" w:eastAsia="Times New Roman" w:hAnsi="Times New Roman"/>
          <w:sz w:val="14"/>
          <w:szCs w:val="14"/>
          <w:color w:val="auto"/>
        </w:rPr>
        <w:t xml:space="preserve">Section 8.02 </w:t>
      </w:r>
      <w:r>
        <w:rPr>
          <w:rFonts w:ascii="Times New Roman" w:cs="Times New Roman" w:eastAsia="Times New Roman" w:hAnsi="Times New Roman"/>
          <w:sz w:val="14"/>
          <w:szCs w:val="14"/>
          <w:u w:val="single" w:color="auto"/>
          <w:color w:val="auto"/>
        </w:rPr>
        <w:t>Proof of Execution or Holding of Securities</w:t>
      </w:r>
      <w:r>
        <w:rPr>
          <w:rFonts w:ascii="Times New Roman" w:cs="Times New Roman" w:eastAsia="Times New Roman" w:hAnsi="Times New Roman"/>
          <w:sz w:val="14"/>
          <w:szCs w:val="14"/>
          <w:color w:val="auto"/>
        </w:rPr>
        <w:t>. Proof of the execution of any instrument by a Securityholder or his, her or its agent or proxy and proof of the holding by any Person of any of the Securities shall be sufficient if made in the following manner:</w:t>
      </w:r>
    </w:p>
    <w:p>
      <w:pPr>
        <w:spacing w:after="0" w:line="39" w:lineRule="exact"/>
        <w:rPr>
          <w:sz w:val="20"/>
          <w:szCs w:val="20"/>
          <w:color w:val="auto"/>
        </w:rPr>
      </w:pPr>
    </w:p>
    <w:p>
      <w:pPr>
        <w:ind w:left="160" w:right="179" w:firstLine="784"/>
        <w:spacing w:after="0" w:line="262" w:lineRule="auto"/>
        <w:tabs>
          <w:tab w:leader="none" w:pos="1134" w:val="left"/>
        </w:tabs>
        <w:numPr>
          <w:ilvl w:val="0"/>
          <w:numId w:val="6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fact and date of the execution by any Person of any such instrument may be proved (i) by the certificate of any notary public or other officer in any jurisdiction who, by the laws thereof, has power to take acknowledgments or proof of deeds to be recorded within such jurisdiction, that the Person who signed such instrument did acknowledge before such notary public or other officer the execution thereof, or (ii) by the affidavit of a witness of such execution sworn to before any such notary or other officer. Where such execution is by a Person acting in other than his or her individual capacity, such certificate or affidavit shall also constitute sufficient proof of his or her authority.</w:t>
      </w:r>
    </w:p>
    <w:p>
      <w:pPr>
        <w:spacing w:after="0" w:line="142" w:lineRule="exact"/>
        <w:rPr>
          <w:rFonts w:ascii="Times New Roman" w:cs="Times New Roman" w:eastAsia="Times New Roman" w:hAnsi="Times New Roman"/>
          <w:sz w:val="14"/>
          <w:szCs w:val="14"/>
          <w:color w:val="auto"/>
        </w:rPr>
      </w:pPr>
    </w:p>
    <w:p>
      <w:pPr>
        <w:ind w:left="1140" w:hanging="196"/>
        <w:spacing w:after="0"/>
        <w:tabs>
          <w:tab w:leader="none" w:pos="1140" w:val="left"/>
        </w:tabs>
        <w:numPr>
          <w:ilvl w:val="0"/>
          <w:numId w:val="6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ownership of Securities of any series shall be proved by the Register of such Securities or by a certificate of the Registrar for such</w:t>
      </w:r>
    </w:p>
    <w:p>
      <w:pPr>
        <w:spacing w:after="0" w:line="23" w:lineRule="exact"/>
        <w:rPr>
          <w:rFonts w:ascii="Times New Roman" w:cs="Times New Roman" w:eastAsia="Times New Roman" w:hAnsi="Times New Roman"/>
          <w:sz w:val="14"/>
          <w:szCs w:val="14"/>
          <w:color w:val="auto"/>
        </w:rPr>
      </w:pPr>
    </w:p>
    <w:p>
      <w:pPr>
        <w:ind w:left="16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series.</w:t>
      </w:r>
    </w:p>
    <w:p>
      <w:pPr>
        <w:spacing w:after="0" w:line="165" w:lineRule="exact"/>
        <w:rPr>
          <w:rFonts w:ascii="Times New Roman" w:cs="Times New Roman" w:eastAsia="Times New Roman" w:hAnsi="Times New Roman"/>
          <w:sz w:val="14"/>
          <w:szCs w:val="14"/>
          <w:color w:val="auto"/>
        </w:rPr>
      </w:pPr>
    </w:p>
    <w:p>
      <w:pPr>
        <w:ind w:left="1140" w:hanging="196"/>
        <w:spacing w:after="0"/>
        <w:tabs>
          <w:tab w:leader="none" w:pos="1140" w:val="left"/>
        </w:tabs>
        <w:numPr>
          <w:ilvl w:val="0"/>
          <w:numId w:val="6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record of any Holders’ meeting shall be proved in the manner provided in Section 9.06.</w:t>
      </w:r>
    </w:p>
    <w:p>
      <w:pPr>
        <w:spacing w:after="0" w:line="179" w:lineRule="exact"/>
        <w:rPr>
          <w:rFonts w:ascii="Times New Roman" w:cs="Times New Roman" w:eastAsia="Times New Roman" w:hAnsi="Times New Roman"/>
          <w:sz w:val="14"/>
          <w:szCs w:val="14"/>
          <w:color w:val="auto"/>
        </w:rPr>
      </w:pPr>
    </w:p>
    <w:p>
      <w:pPr>
        <w:ind w:left="160" w:right="319" w:firstLine="784"/>
        <w:spacing w:after="0" w:line="288" w:lineRule="auto"/>
        <w:tabs>
          <w:tab w:leader="none" w:pos="1142" w:val="left"/>
        </w:tabs>
        <w:numPr>
          <w:ilvl w:val="0"/>
          <w:numId w:val="6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Trustee may require such additional proof of any matter referred to in this Section 8.02 as it shall deem appropriate or necessary, so long as the request is a reasonable one.</w:t>
      </w:r>
    </w:p>
    <w:p>
      <w:pPr>
        <w:spacing w:after="0" w:line="124" w:lineRule="exact"/>
        <w:rPr>
          <w:rFonts w:ascii="Times New Roman" w:cs="Times New Roman" w:eastAsia="Times New Roman" w:hAnsi="Times New Roman"/>
          <w:sz w:val="14"/>
          <w:szCs w:val="14"/>
          <w:color w:val="auto"/>
        </w:rPr>
      </w:pPr>
    </w:p>
    <w:p>
      <w:pPr>
        <w:ind w:left="160" w:right="279" w:firstLine="784"/>
        <w:spacing w:after="0" w:line="260" w:lineRule="auto"/>
        <w:tabs>
          <w:tab w:leader="none" w:pos="1134" w:val="left"/>
        </w:tabs>
        <w:numPr>
          <w:ilvl w:val="0"/>
          <w:numId w:val="6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the Company shall solicit from the Holders of Securities of any series any action, the Company may, at its option fix in advance a record date for the determination of Holders of Securities entitled to take such action, but the Company shall have no obligation to do so. Any such record date shall be fixed at the Company’s discretion. If such a record date is fixed, such action may be sought or given before or after the record date, but only the Holders of Securities of record at the close of business on such record date shall be deemed to be Holders of Securities for the purpose of determining whether Holders of the requisite proportion of Outstanding Securities of such series have authorized or agreed or consented to such action, and for that purpose the Outstanding Securities of such series shall be computed as of such record date.</w:t>
      </w:r>
    </w:p>
    <w:p>
      <w:pPr>
        <w:spacing w:after="0" w:line="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43</w:t>
      </w:r>
    </w:p>
    <w:p>
      <w:pPr>
        <w:sectPr>
          <w:pgSz w:w="11900" w:h="16838" w:orient="portrait"/>
          <w:cols w:equalWidth="0" w:num="1">
            <w:col w:w="9019"/>
          </w:cols>
          <w:pgMar w:left="1440" w:top="240" w:right="1440" w:bottom="1440" w:gutter="0" w:footer="0" w:header="0"/>
        </w:sectPr>
      </w:pPr>
    </w:p>
    <w:bookmarkStart w:id="77" w:name="page78"/>
    <w:bookmarkEnd w:id="77"/>
    <w:p>
      <w:pPr>
        <w:ind w:left="520"/>
        <w:spacing w:after="0"/>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0">
                      <a:extLst>
                        <a:ext uri="{28A0092B-C50C-407E-A947-70E740481C1C}"/>
                      </a:extLst>
                    </a:blip>
                    <a:srcRect/>
                    <a:stretch>
                      <a:fillRect/>
                    </a:stretch>
                  </pic:blipFill>
                  <pic:spPr bwMode="auto">
                    <a:xfrm>
                      <a:off x="0" y="0"/>
                      <a:ext cx="7200265" cy="33020"/>
                    </a:xfrm>
                    <a:prstGeom prst="rect">
                      <a:avLst/>
                    </a:prstGeom>
                    <a:noFill/>
                  </pic:spPr>
                </pic:pic>
              </a:graphicData>
            </a:graphic>
          </wp:anchor>
        </w:drawing>
        <w:t xml:space="preserve">Section 8.03 </w:t>
      </w:r>
      <w:r>
        <w:rPr>
          <w:rFonts w:ascii="Times New Roman" w:cs="Times New Roman" w:eastAsia="Times New Roman" w:hAnsi="Times New Roman"/>
          <w:sz w:val="14"/>
          <w:szCs w:val="14"/>
          <w:u w:val="single" w:color="auto"/>
          <w:color w:val="auto"/>
        </w:rPr>
        <w:t>Persons Deemed Owners</w:t>
      </w:r>
      <w:r>
        <w:rPr>
          <w:rFonts w:ascii="Times New Roman" w:cs="Times New Roman" w:eastAsia="Times New Roman" w:hAnsi="Times New Roman"/>
          <w:sz w:val="14"/>
          <w:szCs w:val="14"/>
          <w:color w:val="auto"/>
        </w:rPr>
        <w:t>.</w:t>
      </w:r>
    </w:p>
    <w:p>
      <w:pPr>
        <w:spacing w:after="0" w:line="179" w:lineRule="exact"/>
        <w:rPr>
          <w:sz w:val="20"/>
          <w:szCs w:val="20"/>
          <w:color w:val="auto"/>
        </w:rPr>
      </w:pPr>
    </w:p>
    <w:p>
      <w:pPr>
        <w:ind w:left="160" w:right="199" w:firstLine="784"/>
        <w:spacing w:after="0" w:line="262" w:lineRule="auto"/>
        <w:tabs>
          <w:tab w:leader="none" w:pos="1134" w:val="left"/>
        </w:tabs>
        <w:numPr>
          <w:ilvl w:val="0"/>
          <w:numId w:val="6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the Trustee or any of their agents shall treat the Person in whose name any Security is registered as the owner of such Security for the purpose of receiving payment of principal of and premium, if any, and (subject to Section 3.08) interest, if any, on, such Security and for all other purposes whatsoever, whether or not such Security be overdue, and neither the Company, the Trustee nor any of their agents shall be affected by notice to the contrary. All payments made to any Holder, or upon his, her or its order, shall be valid, and, to the extent of the sum or sums paid, effectual to satisfy and discharge the liability for moneys payable upon such Security.</w:t>
      </w:r>
    </w:p>
    <w:p>
      <w:pPr>
        <w:spacing w:after="0" w:line="142" w:lineRule="exact"/>
        <w:rPr>
          <w:rFonts w:ascii="Times New Roman" w:cs="Times New Roman" w:eastAsia="Times New Roman" w:hAnsi="Times New Roman"/>
          <w:sz w:val="14"/>
          <w:szCs w:val="14"/>
          <w:color w:val="auto"/>
        </w:rPr>
      </w:pPr>
    </w:p>
    <w:p>
      <w:pPr>
        <w:jc w:val="both"/>
        <w:ind w:left="160" w:right="259" w:firstLine="784"/>
        <w:spacing w:after="0" w:line="271" w:lineRule="auto"/>
        <w:tabs>
          <w:tab w:leader="none" w:pos="1142" w:val="left"/>
        </w:tabs>
        <w:numPr>
          <w:ilvl w:val="0"/>
          <w:numId w:val="6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None of the Company, the Trustee, or any of their agents will have any responsibility or liability for any aspect of the records relating to or payments made on account of beneficial ownership interests in a Global Security or for maintaining, supervising or reviewing any records relating to such beneficial ownership interests.</w:t>
      </w:r>
    </w:p>
    <w:p>
      <w:pPr>
        <w:spacing w:after="0" w:line="136" w:lineRule="exact"/>
        <w:rPr>
          <w:sz w:val="20"/>
          <w:szCs w:val="20"/>
          <w:color w:val="auto"/>
        </w:rPr>
      </w:pPr>
    </w:p>
    <w:p>
      <w:pPr>
        <w:ind w:left="160" w:right="179" w:firstLine="347"/>
        <w:spacing w:after="0" w:line="265" w:lineRule="auto"/>
        <w:rPr>
          <w:sz w:val="20"/>
          <w:szCs w:val="20"/>
          <w:color w:val="auto"/>
        </w:rPr>
      </w:pPr>
      <w:r>
        <w:rPr>
          <w:rFonts w:ascii="Times New Roman" w:cs="Times New Roman" w:eastAsia="Times New Roman" w:hAnsi="Times New Roman"/>
          <w:sz w:val="14"/>
          <w:szCs w:val="14"/>
          <w:color w:val="auto"/>
        </w:rPr>
        <w:t xml:space="preserve">Section 8.04 </w:t>
      </w:r>
      <w:r>
        <w:rPr>
          <w:rFonts w:ascii="Times New Roman" w:cs="Times New Roman" w:eastAsia="Times New Roman" w:hAnsi="Times New Roman"/>
          <w:sz w:val="14"/>
          <w:szCs w:val="14"/>
          <w:u w:val="single" w:color="auto"/>
          <w:color w:val="auto"/>
        </w:rPr>
        <w:t>Effect of Consents</w:t>
      </w:r>
      <w:r>
        <w:rPr>
          <w:rFonts w:ascii="Times New Roman" w:cs="Times New Roman" w:eastAsia="Times New Roman" w:hAnsi="Times New Roman"/>
          <w:sz w:val="14"/>
          <w:szCs w:val="14"/>
          <w:color w:val="auto"/>
        </w:rPr>
        <w:t>. After an amendment, supplement, waiver or other action becomes effective as to any series of Securities, a consent to it by a Holder of such series of Securities is a continuing consent conclusive and binding upon such Holder and every subsequent Holder of the same Securities or portion thereof, and of any Security issued upon the transfer thereof or in exchange therefor or in place thereof, even if notation of the consent is not made on any such Security.</w:t>
      </w: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ARTICLE IX</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u w:val="single" w:color="auto"/>
          <w:color w:val="auto"/>
        </w:rPr>
        <w:t>SECURITYHOLDERS’ MEETINGS</w:t>
      </w:r>
    </w:p>
    <w:p>
      <w:pPr>
        <w:spacing w:after="0" w:line="181" w:lineRule="exact"/>
        <w:rPr>
          <w:sz w:val="20"/>
          <w:szCs w:val="20"/>
          <w:color w:val="auto"/>
        </w:rPr>
      </w:pPr>
    </w:p>
    <w:p>
      <w:pPr>
        <w:ind w:left="160" w:right="279" w:firstLine="347"/>
        <w:spacing w:after="0" w:line="288" w:lineRule="auto"/>
        <w:rPr>
          <w:sz w:val="20"/>
          <w:szCs w:val="20"/>
          <w:color w:val="auto"/>
        </w:rPr>
      </w:pPr>
      <w:r>
        <w:rPr>
          <w:rFonts w:ascii="Times New Roman" w:cs="Times New Roman" w:eastAsia="Times New Roman" w:hAnsi="Times New Roman"/>
          <w:sz w:val="14"/>
          <w:szCs w:val="14"/>
          <w:color w:val="auto"/>
        </w:rPr>
        <w:t xml:space="preserve">Section 9.01 </w:t>
      </w:r>
      <w:r>
        <w:rPr>
          <w:rFonts w:ascii="Times New Roman" w:cs="Times New Roman" w:eastAsia="Times New Roman" w:hAnsi="Times New Roman"/>
          <w:sz w:val="14"/>
          <w:szCs w:val="14"/>
          <w:u w:val="single" w:color="auto"/>
          <w:color w:val="auto"/>
        </w:rPr>
        <w:t>Purposes of Meetings</w:t>
      </w:r>
      <w:r>
        <w:rPr>
          <w:rFonts w:ascii="Times New Roman" w:cs="Times New Roman" w:eastAsia="Times New Roman" w:hAnsi="Times New Roman"/>
          <w:sz w:val="14"/>
          <w:szCs w:val="14"/>
          <w:color w:val="auto"/>
        </w:rPr>
        <w:t>. A meeting of Securityholders of any or all series may be called at any time and from time to time pursuant to the provisions of this Article IX for any of the following purposes:</w:t>
      </w:r>
    </w:p>
    <w:p>
      <w:pPr>
        <w:spacing w:after="0" w:line="39" w:lineRule="exact"/>
        <w:rPr>
          <w:sz w:val="20"/>
          <w:szCs w:val="20"/>
          <w:color w:val="auto"/>
        </w:rPr>
      </w:pPr>
    </w:p>
    <w:p>
      <w:pPr>
        <w:ind w:left="160" w:right="199" w:firstLine="784"/>
        <w:spacing w:after="0" w:line="271" w:lineRule="auto"/>
        <w:tabs>
          <w:tab w:leader="none" w:pos="1134" w:val="left"/>
        </w:tabs>
        <w:numPr>
          <w:ilvl w:val="0"/>
          <w:numId w:val="7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give any notice to the Company or to the Trustee, or to give any directions to the Trustee, or to consent to the waiving of any Default or Event of Default hereunder and its consequences, or to take any other action authorized to be taken by Securityholders pursuant to any of the provisions of Article VIII;</w:t>
      </w:r>
    </w:p>
    <w:p>
      <w:pPr>
        <w:spacing w:after="0" w:line="135" w:lineRule="exact"/>
        <w:rPr>
          <w:rFonts w:ascii="Times New Roman" w:cs="Times New Roman" w:eastAsia="Times New Roman" w:hAnsi="Times New Roman"/>
          <w:sz w:val="14"/>
          <w:szCs w:val="14"/>
          <w:color w:val="auto"/>
        </w:rPr>
      </w:pPr>
    </w:p>
    <w:p>
      <w:pPr>
        <w:ind w:left="1140" w:hanging="196"/>
        <w:spacing w:after="0"/>
        <w:tabs>
          <w:tab w:leader="none" w:pos="1140" w:val="left"/>
        </w:tabs>
        <w:numPr>
          <w:ilvl w:val="0"/>
          <w:numId w:val="7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remove the Trustee and nominate a successor trustee pursuant to the provisions of Article XI;</w:t>
      </w:r>
    </w:p>
    <w:p>
      <w:pPr>
        <w:spacing w:after="0" w:line="179" w:lineRule="exact"/>
        <w:rPr>
          <w:rFonts w:ascii="Times New Roman" w:cs="Times New Roman" w:eastAsia="Times New Roman" w:hAnsi="Times New Roman"/>
          <w:sz w:val="14"/>
          <w:szCs w:val="14"/>
          <w:color w:val="auto"/>
        </w:rPr>
      </w:pPr>
    </w:p>
    <w:p>
      <w:pPr>
        <w:ind w:left="1140" w:hanging="196"/>
        <w:spacing w:after="0"/>
        <w:tabs>
          <w:tab w:leader="none" w:pos="1140" w:val="left"/>
        </w:tabs>
        <w:numPr>
          <w:ilvl w:val="0"/>
          <w:numId w:val="7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consent to the execution of an Indenture or of indentures supplemental hereto pursuant to the provisions of Section 14.02; or</w:t>
      </w:r>
    </w:p>
    <w:p>
      <w:pPr>
        <w:spacing w:after="0" w:line="1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44</w:t>
      </w:r>
    </w:p>
    <w:p>
      <w:pPr>
        <w:sectPr>
          <w:pgSz w:w="11900" w:h="16838" w:orient="portrait"/>
          <w:cols w:equalWidth="0" w:num="1">
            <w:col w:w="9019"/>
          </w:cols>
          <w:pgMar w:left="1440" w:top="242" w:right="1440" w:bottom="1440" w:gutter="0" w:footer="0" w:header="0"/>
        </w:sectPr>
      </w:pPr>
    </w:p>
    <w:bookmarkStart w:id="78" w:name="page79"/>
    <w:bookmarkEnd w:id="78"/>
    <w:p>
      <w:pPr>
        <w:ind w:left="160" w:right="619" w:firstLine="784"/>
        <w:spacing w:after="0" w:line="288" w:lineRule="auto"/>
        <w:tabs>
          <w:tab w:leader="none" w:pos="1142" w:val="left"/>
        </w:tabs>
        <w:numPr>
          <w:ilvl w:val="0"/>
          <w:numId w:val="7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1">
                      <a:extLst>
                        <a:ext uri="{28A0092B-C50C-407E-A947-70E740481C1C}"/>
                      </a:extLst>
                    </a:blip>
                    <a:srcRect/>
                    <a:stretch>
                      <a:fillRect/>
                    </a:stretch>
                  </pic:blipFill>
                  <pic:spPr bwMode="auto">
                    <a:xfrm>
                      <a:off x="0" y="0"/>
                      <a:ext cx="7200265" cy="33020"/>
                    </a:xfrm>
                    <a:prstGeom prst="rect">
                      <a:avLst/>
                    </a:prstGeom>
                    <a:noFill/>
                  </pic:spPr>
                </pic:pic>
              </a:graphicData>
            </a:graphic>
          </wp:anchor>
        </w:drawing>
        <w:t>to take any other action authorized to be taken by or on behalf of the Holders of any specified aggregate principal amount of the Securities of any one or more or all series, as the case may be, under any other provision of this Indenture or under applicable law.</w:t>
      </w:r>
    </w:p>
    <w:p>
      <w:pPr>
        <w:spacing w:after="0" w:line="124" w:lineRule="exact"/>
        <w:rPr>
          <w:sz w:val="20"/>
          <w:szCs w:val="20"/>
          <w:color w:val="auto"/>
        </w:rPr>
      </w:pPr>
    </w:p>
    <w:p>
      <w:pPr>
        <w:ind w:left="160" w:right="179" w:firstLine="347"/>
        <w:spacing w:after="0" w:line="262" w:lineRule="auto"/>
        <w:rPr>
          <w:sz w:val="20"/>
          <w:szCs w:val="20"/>
          <w:color w:val="auto"/>
        </w:rPr>
      </w:pPr>
      <w:r>
        <w:rPr>
          <w:rFonts w:ascii="Times New Roman" w:cs="Times New Roman" w:eastAsia="Times New Roman" w:hAnsi="Times New Roman"/>
          <w:sz w:val="14"/>
          <w:szCs w:val="14"/>
          <w:color w:val="auto"/>
        </w:rPr>
        <w:t xml:space="preserve">Section 9.02 </w:t>
      </w:r>
      <w:r>
        <w:rPr>
          <w:rFonts w:ascii="Times New Roman" w:cs="Times New Roman" w:eastAsia="Times New Roman" w:hAnsi="Times New Roman"/>
          <w:sz w:val="14"/>
          <w:szCs w:val="14"/>
          <w:u w:val="single" w:color="auto"/>
          <w:color w:val="auto"/>
        </w:rPr>
        <w:t>Call of Meetings by Trustee</w:t>
      </w:r>
      <w:r>
        <w:rPr>
          <w:rFonts w:ascii="Times New Roman" w:cs="Times New Roman" w:eastAsia="Times New Roman" w:hAnsi="Times New Roman"/>
          <w:sz w:val="14"/>
          <w:szCs w:val="14"/>
          <w:color w:val="auto"/>
        </w:rPr>
        <w:t>. The Trustee may at any time call a meeting of all Securityholders of any or all series that may be affected by the action proposed to be taken, to take any action specified in Section 9.01, to be held at such time and at such place as the Trustee shall determine. Notice of every meeting of the Securityholders of a series, setting forth the time and the place of such meeting and in general terms the action proposed to be taken at such meeting, shall be mailed at the expense of the Company to Holders of Securities of such series at their addresses as they shall appear on the Register of the Company. Such notice shall be mailed not less than 20 nor more than 90 days prior to the date fixed for the meeting.</w:t>
      </w:r>
    </w:p>
    <w:p>
      <w:pPr>
        <w:spacing w:after="0" w:line="143" w:lineRule="exact"/>
        <w:rPr>
          <w:sz w:val="20"/>
          <w:szCs w:val="20"/>
          <w:color w:val="auto"/>
        </w:rPr>
      </w:pPr>
    </w:p>
    <w:p>
      <w:pPr>
        <w:ind w:left="160" w:right="239" w:firstLine="347"/>
        <w:spacing w:after="0" w:line="260" w:lineRule="auto"/>
        <w:rPr>
          <w:sz w:val="20"/>
          <w:szCs w:val="20"/>
          <w:color w:val="auto"/>
        </w:rPr>
      </w:pPr>
      <w:r>
        <w:rPr>
          <w:rFonts w:ascii="Times New Roman" w:cs="Times New Roman" w:eastAsia="Times New Roman" w:hAnsi="Times New Roman"/>
          <w:sz w:val="14"/>
          <w:szCs w:val="14"/>
          <w:color w:val="auto"/>
        </w:rPr>
        <w:t xml:space="preserve">Section 9.03 </w:t>
      </w:r>
      <w:r>
        <w:rPr>
          <w:rFonts w:ascii="Times New Roman" w:cs="Times New Roman" w:eastAsia="Times New Roman" w:hAnsi="Times New Roman"/>
          <w:sz w:val="14"/>
          <w:szCs w:val="14"/>
          <w:u w:val="single" w:color="auto"/>
          <w:color w:val="auto"/>
        </w:rPr>
        <w:t>Call of Meetings by Company or Securityholders</w:t>
      </w:r>
      <w:r>
        <w:rPr>
          <w:rFonts w:ascii="Times New Roman" w:cs="Times New Roman" w:eastAsia="Times New Roman" w:hAnsi="Times New Roman"/>
          <w:sz w:val="14"/>
          <w:szCs w:val="14"/>
          <w:color w:val="auto"/>
        </w:rPr>
        <w:t>. In case at any time the Company or the Holders of at least 10% in aggregate principal amount of the Securities of any or all series then Outstanding that may be affected by the action proposed to be taken, shall have requested the Trustee to call a meeting of Securityholders of such series, by written request setting forth in reasonable detail the action proposed to be taken at the meeting, and the Trustee shall not have mailed the notice of such meeting within 20 days after receipt of such request, then the Company or such Securityholders may determine the time and the place for such meeting and may call such meeting to take any action authorized in Section 9.01, by mailing notice thereof as provided in Section 9.02.</w:t>
      </w:r>
    </w:p>
    <w:p>
      <w:pPr>
        <w:spacing w:after="0" w:line="145" w:lineRule="exact"/>
        <w:rPr>
          <w:sz w:val="20"/>
          <w:szCs w:val="20"/>
          <w:color w:val="auto"/>
        </w:rPr>
      </w:pPr>
    </w:p>
    <w:p>
      <w:pPr>
        <w:ind w:left="160" w:right="259" w:firstLine="347"/>
        <w:spacing w:after="0" w:line="259" w:lineRule="auto"/>
        <w:rPr>
          <w:sz w:val="20"/>
          <w:szCs w:val="20"/>
          <w:color w:val="auto"/>
        </w:rPr>
      </w:pPr>
      <w:r>
        <w:rPr>
          <w:rFonts w:ascii="Times New Roman" w:cs="Times New Roman" w:eastAsia="Times New Roman" w:hAnsi="Times New Roman"/>
          <w:sz w:val="14"/>
          <w:szCs w:val="14"/>
          <w:color w:val="auto"/>
        </w:rPr>
        <w:t xml:space="preserve">Section 9.04 </w:t>
      </w:r>
      <w:r>
        <w:rPr>
          <w:rFonts w:ascii="Times New Roman" w:cs="Times New Roman" w:eastAsia="Times New Roman" w:hAnsi="Times New Roman"/>
          <w:sz w:val="14"/>
          <w:szCs w:val="14"/>
          <w:u w:val="single" w:color="auto"/>
          <w:color w:val="auto"/>
        </w:rPr>
        <w:t>Qualifications for Voting</w:t>
      </w:r>
      <w:r>
        <w:rPr>
          <w:rFonts w:ascii="Times New Roman" w:cs="Times New Roman" w:eastAsia="Times New Roman" w:hAnsi="Times New Roman"/>
          <w:sz w:val="14"/>
          <w:szCs w:val="14"/>
          <w:color w:val="auto"/>
        </w:rPr>
        <w:t>. To be entitled to vote at any meeting of Securityholders, a Person shall (a) be a Holder of one or more Securities affected by the action proposed to be taken at the meeting or (b) be a Person appointed by an instrument in writing as proxy by a Holder of one or more such Securities. The only Persons who shall be entitled to be present or to speak at any meeting of Securityholders shall be the Persons entitled to vote at such meeting and their counsel and any representatives of the Trustee and its counsel and any representatives of the Company and its counsel. Unless otherwise expressly provided pursuant to Section 3.01 with respect to the Securities of any series, any vote, consent, waiver or other action given or taken by the Holders of any series of Securities at a meeting shall be given or taken, as the case may be, by the Holders of such series of Securities as a separate class.</w:t>
      </w:r>
    </w:p>
    <w:p>
      <w:pPr>
        <w:spacing w:after="0" w:line="14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 xml:space="preserve">Section 9.05 </w:t>
      </w:r>
      <w:r>
        <w:rPr>
          <w:rFonts w:ascii="Times New Roman" w:cs="Times New Roman" w:eastAsia="Times New Roman" w:hAnsi="Times New Roman"/>
          <w:sz w:val="14"/>
          <w:szCs w:val="14"/>
          <w:u w:val="single" w:color="auto"/>
          <w:color w:val="auto"/>
        </w:rPr>
        <w:t>Regulation of Meetings</w:t>
      </w:r>
      <w:r>
        <w:rPr>
          <w:rFonts w:ascii="Times New Roman" w:cs="Times New Roman" w:eastAsia="Times New Roman" w:hAnsi="Times New Roman"/>
          <w:sz w:val="14"/>
          <w:szCs w:val="14"/>
          <w:color w:val="auto"/>
        </w:rPr>
        <w:t>.</w:t>
      </w:r>
    </w:p>
    <w:p>
      <w:pPr>
        <w:spacing w:after="0" w:line="179" w:lineRule="exact"/>
        <w:rPr>
          <w:sz w:val="20"/>
          <w:szCs w:val="20"/>
          <w:color w:val="auto"/>
        </w:rPr>
      </w:pPr>
    </w:p>
    <w:p>
      <w:pPr>
        <w:ind w:left="160" w:right="179" w:firstLine="784"/>
        <w:spacing w:after="0" w:line="265" w:lineRule="auto"/>
        <w:tabs>
          <w:tab w:leader="none" w:pos="1134" w:val="left"/>
        </w:tabs>
        <w:numPr>
          <w:ilvl w:val="0"/>
          <w:numId w:val="7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Notwithstanding any other provisions of this Indenture, the Trustee may make such reasonable regulations as it may deem advisable for any meeting of Securityholders, in regard to proof of the holding of Securities and of the appointment of proxies, and in regard to the appointment and duties of inspectors of votes, the submission and examination of proxies, certificates and other evidence of the right to vote, and such other matters concerning the conduct of the meeting as it shall deem fit.</w:t>
      </w:r>
    </w:p>
    <w:p>
      <w:pPr>
        <w:spacing w:after="0" w:line="140" w:lineRule="exact"/>
        <w:rPr>
          <w:rFonts w:ascii="Times New Roman" w:cs="Times New Roman" w:eastAsia="Times New Roman" w:hAnsi="Times New Roman"/>
          <w:sz w:val="14"/>
          <w:szCs w:val="14"/>
          <w:color w:val="auto"/>
        </w:rPr>
      </w:pPr>
    </w:p>
    <w:p>
      <w:pPr>
        <w:ind w:left="160" w:right="239" w:firstLine="784"/>
        <w:spacing w:after="0" w:line="265" w:lineRule="auto"/>
        <w:tabs>
          <w:tab w:leader="none" w:pos="1142" w:val="left"/>
        </w:tabs>
        <w:numPr>
          <w:ilvl w:val="0"/>
          <w:numId w:val="7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Trustee shall, by an instrument in writing, appoint a temporary chairman of the meeting, unless the meeting shall have been called by the Company or by Securityholders as provided in Section 9.03, in which case the Company or the Securityholders calling the meeting, as the case may be, shall in like manner appoint a temporary chair. A permanent chairman and a permanent secretary of the meeting shall be elected by majority vote of the meeting.</w:t>
      </w:r>
    </w:p>
    <w:p>
      <w:pPr>
        <w:spacing w:after="0" w:line="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45</w:t>
      </w:r>
    </w:p>
    <w:p>
      <w:pPr>
        <w:sectPr>
          <w:pgSz w:w="11900" w:h="16838" w:orient="portrait"/>
          <w:cols w:equalWidth="0" w:num="1">
            <w:col w:w="9019"/>
          </w:cols>
          <w:pgMar w:left="1440" w:top="242" w:right="1440" w:bottom="1440" w:gutter="0" w:footer="0" w:header="0"/>
        </w:sectPr>
      </w:pPr>
    </w:p>
    <w:bookmarkStart w:id="79" w:name="page80"/>
    <w:bookmarkEnd w:id="79"/>
    <w:p>
      <w:pPr>
        <w:ind w:left="160" w:right="199" w:firstLine="784"/>
        <w:spacing w:after="0" w:line="257" w:lineRule="auto"/>
        <w:tabs>
          <w:tab w:leader="none" w:pos="1134" w:val="left"/>
        </w:tabs>
        <w:numPr>
          <w:ilvl w:val="0"/>
          <w:numId w:val="7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2">
                      <a:extLst>
                        <a:ext uri="{28A0092B-C50C-407E-A947-70E740481C1C}"/>
                      </a:extLst>
                    </a:blip>
                    <a:srcRect/>
                    <a:stretch>
                      <a:fillRect/>
                    </a:stretch>
                  </pic:blipFill>
                  <pic:spPr bwMode="auto">
                    <a:xfrm>
                      <a:off x="0" y="0"/>
                      <a:ext cx="7200265" cy="33020"/>
                    </a:xfrm>
                    <a:prstGeom prst="rect">
                      <a:avLst/>
                    </a:prstGeom>
                    <a:noFill/>
                  </pic:spPr>
                </pic:pic>
              </a:graphicData>
            </a:graphic>
          </wp:anchor>
        </w:drawing>
        <w:t>At any meeting of Securityholders of a series, each Securityholder of such series or such Securityholder’s proxy shall be entitled to one vote for each $1,000 principal amount of Securities of such series Outstanding held or represented by him; provided, however, that no vote shall be cast or counted at any meeting in respect of any Security challenged as not Outstanding and ruled by the chairman of the meeting to be not Outstanding. If the Securities of any series are issuable in minimum denominations of less than $1,000, then a Holder of such a Security in a principal amount of less than $1,000 shall be entitled to a fraction of one vote which is equal to the fraction that the principal amount of such Security bears to $1,000. The chairman of the meeting shall have no right to vote other than by virtue of Securities of such series held by him or her or instruments in writing as aforesaid duly designating him or her as the Person to vote on behalf of other Securityholders. At any meeting of the Securityholders of any series duly called pursuant to the provisions of Section 9.02 or 9.03, the presence of Persons holding or representing Securities of such series in an aggregate principal amount sufficient to take action as it concerns the Securities of such series upon the business for the transaction of which such meeting was called shall be necessary to constitute a quorum, and any such meeting may be adjourned from time to time by a majority of those present, whether or not constituting a quorum, and the meeting may be held as so adjourned without further notice.</w:t>
      </w:r>
    </w:p>
    <w:p>
      <w:pPr>
        <w:spacing w:after="0" w:line="146" w:lineRule="exact"/>
        <w:rPr>
          <w:sz w:val="20"/>
          <w:szCs w:val="20"/>
          <w:color w:val="auto"/>
        </w:rPr>
      </w:pPr>
    </w:p>
    <w:p>
      <w:pPr>
        <w:ind w:left="160" w:right="179" w:firstLine="347"/>
        <w:spacing w:after="0" w:line="257" w:lineRule="auto"/>
        <w:rPr>
          <w:sz w:val="20"/>
          <w:szCs w:val="20"/>
          <w:color w:val="auto"/>
        </w:rPr>
      </w:pPr>
      <w:r>
        <w:rPr>
          <w:rFonts w:ascii="Times New Roman" w:cs="Times New Roman" w:eastAsia="Times New Roman" w:hAnsi="Times New Roman"/>
          <w:sz w:val="14"/>
          <w:szCs w:val="14"/>
          <w:color w:val="auto"/>
        </w:rPr>
        <w:t xml:space="preserve">Section 9.06 </w:t>
      </w:r>
      <w:r>
        <w:rPr>
          <w:rFonts w:ascii="Times New Roman" w:cs="Times New Roman" w:eastAsia="Times New Roman" w:hAnsi="Times New Roman"/>
          <w:sz w:val="14"/>
          <w:szCs w:val="14"/>
          <w:u w:val="single" w:color="auto"/>
          <w:color w:val="auto"/>
        </w:rPr>
        <w:t>Voting</w:t>
      </w:r>
      <w:r>
        <w:rPr>
          <w:rFonts w:ascii="Times New Roman" w:cs="Times New Roman" w:eastAsia="Times New Roman" w:hAnsi="Times New Roman"/>
          <w:sz w:val="14"/>
          <w:szCs w:val="14"/>
          <w:color w:val="auto"/>
        </w:rPr>
        <w:t>. The vote upon any resolution submitted to any meeting of Securityholders of a series shall be by written ballots on which shall be subscribed the signatures of the Holders of Securities of such series or of their representatives by proxy and the principal amounts of the Securities of such series held or represented by them. The permanent chairman of the meeting shall appoint two inspectors of votes who shall count all votes cast at the meeting for or against any resolution and who shall make and file with the secretary of the meeting their verified written reports in duplicate of all votes cast at the meeting. A record in duplicate of the proceedings of each meeting of Securityholders shall be prepared by the secretary of the meeting and there shall be attached to said record the original reports of the inspectors of votes on any vote by ballot taken thereat and affidavits by one or more Persons having knowledge of the facts setting forth a copy of the notice of the meeting and showing that said notice was mailed as provided in Section 9.02. The record shall show the principal amounts of the Securities voting in favor of or against any resolution. The record shall be signed and verified by the affidavits of the permanent chairman and secretary of the meeting and one of the duplicates shall be delivered to the Company and the other to the Trustee to be preserved by the Trustee.</w:t>
      </w:r>
    </w:p>
    <w:p>
      <w:pPr>
        <w:spacing w:after="0" w:line="14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Any record so signed and verified shall be conclusive evidence of the matters therein stated.</w:t>
      </w:r>
    </w:p>
    <w:p>
      <w:pPr>
        <w:spacing w:after="0" w:line="179" w:lineRule="exact"/>
        <w:rPr>
          <w:sz w:val="20"/>
          <w:szCs w:val="20"/>
          <w:color w:val="auto"/>
        </w:rPr>
      </w:pPr>
    </w:p>
    <w:p>
      <w:pPr>
        <w:ind w:left="160" w:right="279" w:firstLine="347"/>
        <w:spacing w:after="0" w:line="265" w:lineRule="auto"/>
        <w:rPr>
          <w:sz w:val="20"/>
          <w:szCs w:val="20"/>
          <w:color w:val="auto"/>
        </w:rPr>
      </w:pPr>
      <w:r>
        <w:rPr>
          <w:rFonts w:ascii="Times New Roman" w:cs="Times New Roman" w:eastAsia="Times New Roman" w:hAnsi="Times New Roman"/>
          <w:sz w:val="14"/>
          <w:szCs w:val="14"/>
          <w:color w:val="auto"/>
        </w:rPr>
        <w:t xml:space="preserve">Section 9.07 </w:t>
      </w:r>
      <w:r>
        <w:rPr>
          <w:rFonts w:ascii="Times New Roman" w:cs="Times New Roman" w:eastAsia="Times New Roman" w:hAnsi="Times New Roman"/>
          <w:sz w:val="14"/>
          <w:szCs w:val="14"/>
          <w:u w:val="single" w:color="auto"/>
          <w:color w:val="auto"/>
        </w:rPr>
        <w:t>No Delay of Rights by Meeting</w:t>
      </w:r>
      <w:r>
        <w:rPr>
          <w:rFonts w:ascii="Times New Roman" w:cs="Times New Roman" w:eastAsia="Times New Roman" w:hAnsi="Times New Roman"/>
          <w:sz w:val="14"/>
          <w:szCs w:val="14"/>
          <w:color w:val="auto"/>
        </w:rPr>
        <w:t>. Nothing contained in this Article IX shall be deemed or construed to authorize or permit, by reason of any call of a meeting of Securityholders of any series or any rights expressly or impliedly conferred hereunder to make such call, any hindrance or delay in the exercise of any right or rights conferred upon or reserved to the Trustee or to the Securityholders of such series under any of the provisions of this Indenture or of the Securities of such series.</w:t>
      </w:r>
    </w:p>
    <w:p>
      <w:pPr>
        <w:spacing w:after="0" w:line="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46</w:t>
      </w:r>
    </w:p>
    <w:p>
      <w:pPr>
        <w:sectPr>
          <w:pgSz w:w="11900" w:h="16838" w:orient="portrait"/>
          <w:cols w:equalWidth="0" w:num="1">
            <w:col w:w="9019"/>
          </w:cols>
          <w:pgMar w:left="1440" w:top="242" w:right="1440" w:bottom="1440" w:gutter="0" w:footer="0" w:header="0"/>
        </w:sectPr>
      </w:pPr>
    </w:p>
    <w:bookmarkStart w:id="80" w:name="page81"/>
    <w:bookmarkEnd w:id="80"/>
    <w:p>
      <w:pPr>
        <w:ind w:left="4120"/>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3">
                      <a:extLst>
                        <a:ext uri="{28A0092B-C50C-407E-A947-70E740481C1C}"/>
                      </a:extLst>
                    </a:blip>
                    <a:srcRect/>
                    <a:stretch>
                      <a:fillRect/>
                    </a:stretch>
                  </pic:blipFill>
                  <pic:spPr bwMode="auto">
                    <a:xfrm>
                      <a:off x="0" y="0"/>
                      <a:ext cx="7200265" cy="33020"/>
                    </a:xfrm>
                    <a:prstGeom prst="rect">
                      <a:avLst/>
                    </a:prstGeom>
                    <a:noFill/>
                  </pic:spPr>
                </pic:pic>
              </a:graphicData>
            </a:graphic>
          </wp:anchor>
        </w:drawing>
        <w:t>ARTICLE X</w:t>
      </w:r>
    </w:p>
    <w:p>
      <w:pPr>
        <w:spacing w:after="0" w:line="94"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14"/>
          <w:szCs w:val="14"/>
          <w:b w:val="1"/>
          <w:bCs w:val="1"/>
          <w:u w:val="single" w:color="auto"/>
          <w:color w:val="auto"/>
        </w:rPr>
        <w:t>REPORTS BY THE COMPANY AND THE TRUSTEE AND</w:t>
      </w:r>
    </w:p>
    <w:p>
      <w:pPr>
        <w:spacing w:after="0" w:line="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u w:val="single" w:color="auto"/>
          <w:color w:val="auto"/>
        </w:rPr>
        <w:t>SECURITYHOLDERS’ LISTS</w:t>
      </w:r>
    </w:p>
    <w:p>
      <w:pPr>
        <w:spacing w:after="0" w:line="16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 xml:space="preserve">Section 10.01 </w:t>
      </w:r>
      <w:r>
        <w:rPr>
          <w:rFonts w:ascii="Times New Roman" w:cs="Times New Roman" w:eastAsia="Times New Roman" w:hAnsi="Times New Roman"/>
          <w:sz w:val="14"/>
          <w:szCs w:val="14"/>
          <w:u w:val="single" w:color="auto"/>
          <w:color w:val="auto"/>
        </w:rPr>
        <w:t>Reports by Trustee</w:t>
      </w:r>
      <w:r>
        <w:rPr>
          <w:rFonts w:ascii="Times New Roman" w:cs="Times New Roman" w:eastAsia="Times New Roman" w:hAnsi="Times New Roman"/>
          <w:sz w:val="14"/>
          <w:szCs w:val="14"/>
          <w:color w:val="auto"/>
        </w:rPr>
        <w:t>.</w:t>
      </w:r>
    </w:p>
    <w:p>
      <w:pPr>
        <w:spacing w:after="0" w:line="179" w:lineRule="exact"/>
        <w:rPr>
          <w:sz w:val="20"/>
          <w:szCs w:val="20"/>
          <w:color w:val="auto"/>
        </w:rPr>
      </w:pPr>
    </w:p>
    <w:p>
      <w:pPr>
        <w:ind w:left="160" w:right="519" w:firstLine="784"/>
        <w:spacing w:after="0" w:line="264" w:lineRule="auto"/>
        <w:tabs>
          <w:tab w:leader="none" w:pos="1134" w:val="left"/>
        </w:tabs>
        <w:numPr>
          <w:ilvl w:val="0"/>
          <w:numId w:val="7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So long as any Securities are outstanding, the Trustee shall transmit to Holders such reports concerning the Trustee and its actions under this Indenture as may be required pursuant to the Trust Indenture Act at the times and in the manner provided therein. If required by</w:t>
      </w:r>
    </w:p>
    <w:p>
      <w:pPr>
        <w:ind w:left="160" w:right="219"/>
        <w:spacing w:after="0" w:line="267"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Section 313(a) of the Trust Indenture Act, the Trustee shall, within 60 days after each anniversary following the date of this Indenture deliver to Holders a brief report which complies with the provisions of such Section 313(a).</w:t>
      </w:r>
    </w:p>
    <w:p>
      <w:pPr>
        <w:spacing w:after="0" w:line="138" w:lineRule="exact"/>
        <w:rPr>
          <w:rFonts w:ascii="Times New Roman" w:cs="Times New Roman" w:eastAsia="Times New Roman" w:hAnsi="Times New Roman"/>
          <w:sz w:val="14"/>
          <w:szCs w:val="14"/>
          <w:color w:val="auto"/>
        </w:rPr>
      </w:pPr>
    </w:p>
    <w:p>
      <w:pPr>
        <w:ind w:left="1140" w:hanging="196"/>
        <w:spacing w:after="0"/>
        <w:tabs>
          <w:tab w:leader="none" w:pos="1140" w:val="left"/>
        </w:tabs>
        <w:numPr>
          <w:ilvl w:val="0"/>
          <w:numId w:val="7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Trustee shall, at the time of the transmission to the Holders of Securities of any report pursuant to the provisions of this</w:t>
      </w:r>
    </w:p>
    <w:p>
      <w:pPr>
        <w:spacing w:after="0" w:line="23" w:lineRule="exact"/>
        <w:rPr>
          <w:sz w:val="20"/>
          <w:szCs w:val="20"/>
          <w:color w:val="auto"/>
        </w:rPr>
      </w:pPr>
    </w:p>
    <w:p>
      <w:pPr>
        <w:ind w:left="160" w:right="279"/>
        <w:spacing w:after="0" w:line="260" w:lineRule="auto"/>
        <w:rPr>
          <w:sz w:val="20"/>
          <w:szCs w:val="20"/>
          <w:color w:val="auto"/>
        </w:rPr>
      </w:pPr>
      <w:r>
        <w:rPr>
          <w:rFonts w:ascii="Times New Roman" w:cs="Times New Roman" w:eastAsia="Times New Roman" w:hAnsi="Times New Roman"/>
          <w:sz w:val="14"/>
          <w:szCs w:val="14"/>
          <w:color w:val="auto"/>
        </w:rPr>
        <w:t>Section 10.01, file a copy of such report with each stock exchange upon which the Securities are listed, if any, and also with the SEC in respect of a Security listed and registered on a national securities exchange, if any. The Company agrees to notify the Trustee when, as and if the Securities become listed on any stock exchange or any delisting thereof.</w:t>
      </w:r>
    </w:p>
    <w:p>
      <w:pPr>
        <w:spacing w:after="0" w:line="144" w:lineRule="exact"/>
        <w:rPr>
          <w:sz w:val="20"/>
          <w:szCs w:val="20"/>
          <w:color w:val="auto"/>
        </w:rPr>
      </w:pPr>
    </w:p>
    <w:p>
      <w:pPr>
        <w:ind w:left="160" w:right="439" w:firstLine="784"/>
        <w:spacing w:after="0" w:line="288" w:lineRule="auto"/>
        <w:tabs>
          <w:tab w:leader="none" w:pos="1134" w:val="left"/>
        </w:tabs>
        <w:numPr>
          <w:ilvl w:val="0"/>
          <w:numId w:val="7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will reimburse the Trustee for all expenses incurred in the preparation and transmission of any report pursuant to the provisions of this Section 10.01 and of Section 10.02.</w:t>
      </w:r>
    </w:p>
    <w:p>
      <w:pPr>
        <w:spacing w:after="0" w:line="124" w:lineRule="exact"/>
        <w:rPr>
          <w:sz w:val="20"/>
          <w:szCs w:val="20"/>
          <w:color w:val="auto"/>
        </w:rPr>
      </w:pPr>
    </w:p>
    <w:p>
      <w:pPr>
        <w:ind w:left="160" w:right="199" w:firstLine="347"/>
        <w:spacing w:after="0" w:line="265" w:lineRule="auto"/>
        <w:rPr>
          <w:sz w:val="20"/>
          <w:szCs w:val="20"/>
          <w:color w:val="auto"/>
        </w:rPr>
      </w:pPr>
      <w:r>
        <w:rPr>
          <w:rFonts w:ascii="Times New Roman" w:cs="Times New Roman" w:eastAsia="Times New Roman" w:hAnsi="Times New Roman"/>
          <w:sz w:val="14"/>
          <w:szCs w:val="14"/>
          <w:color w:val="auto"/>
        </w:rPr>
        <w:t xml:space="preserve">Section 10.02 </w:t>
      </w:r>
      <w:r>
        <w:rPr>
          <w:rFonts w:ascii="Times New Roman" w:cs="Times New Roman" w:eastAsia="Times New Roman" w:hAnsi="Times New Roman"/>
          <w:sz w:val="14"/>
          <w:szCs w:val="14"/>
          <w:u w:val="single" w:color="auto"/>
          <w:color w:val="auto"/>
        </w:rPr>
        <w:t>Reports by the Company</w:t>
      </w:r>
      <w:r>
        <w:rPr>
          <w:rFonts w:ascii="Times New Roman" w:cs="Times New Roman" w:eastAsia="Times New Roman" w:hAnsi="Times New Roman"/>
          <w:sz w:val="14"/>
          <w:szCs w:val="14"/>
          <w:color w:val="auto"/>
        </w:rPr>
        <w:t>. The Company shall file with the Trustee and the SEC, and transmit to Holders, such information, documents and other reports, and such summaries thereof, as may be required pursuant to the Trust Indenture Act at the times and in the manner provided in the Trust Indenture Act; provided that, unless available on EDGAR, any such information, documents or reports required to be filed with the SEC pursuant to Section 13 or 15(d) of the Exchange Act shall be filed with the Trustee within 30 days after the same is filed with the SEC.</w:t>
      </w:r>
    </w:p>
    <w:p>
      <w:pPr>
        <w:spacing w:after="0" w:line="140" w:lineRule="exact"/>
        <w:rPr>
          <w:sz w:val="20"/>
          <w:szCs w:val="20"/>
          <w:color w:val="auto"/>
        </w:rPr>
      </w:pPr>
    </w:p>
    <w:p>
      <w:pPr>
        <w:ind w:left="160" w:right="639" w:firstLine="347"/>
        <w:spacing w:after="0" w:line="271" w:lineRule="auto"/>
        <w:rPr>
          <w:sz w:val="20"/>
          <w:szCs w:val="20"/>
          <w:color w:val="auto"/>
        </w:rPr>
      </w:pPr>
      <w:r>
        <w:rPr>
          <w:rFonts w:ascii="Times New Roman" w:cs="Times New Roman" w:eastAsia="Times New Roman" w:hAnsi="Times New Roman"/>
          <w:sz w:val="14"/>
          <w:szCs w:val="14"/>
          <w:color w:val="auto"/>
        </w:rPr>
        <w:t>Delivery of reports, information and documents to the Trustee is for informational purposes only and the Trustee’s receipt of such shall not constitute actual or constructive notice of any information contained therein or determinable from information contained therein, including the Company’s compliance with any of its covenants hereunder (as to which the Trustee is entitled to rely exclusively on Officer’s Certificates).</w:t>
      </w:r>
    </w:p>
    <w:p>
      <w:pPr>
        <w:spacing w:after="0" w:line="13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 xml:space="preserve">Section 10.03 </w:t>
      </w:r>
      <w:r>
        <w:rPr>
          <w:rFonts w:ascii="Times New Roman" w:cs="Times New Roman" w:eastAsia="Times New Roman" w:hAnsi="Times New Roman"/>
          <w:sz w:val="14"/>
          <w:szCs w:val="14"/>
          <w:u w:val="single" w:color="auto"/>
          <w:color w:val="auto"/>
        </w:rPr>
        <w:t>Securityholders’ Lists</w:t>
      </w:r>
      <w:r>
        <w:rPr>
          <w:rFonts w:ascii="Times New Roman" w:cs="Times New Roman" w:eastAsia="Times New Roman" w:hAnsi="Times New Roman"/>
          <w:sz w:val="14"/>
          <w:szCs w:val="14"/>
          <w:color w:val="auto"/>
        </w:rPr>
        <w:t>. The Company covenants and agrees that it will furnish or cause to be furnished to the Trustee:</w:t>
      </w:r>
    </w:p>
    <w:p>
      <w:pPr>
        <w:spacing w:after="0" w:line="94" w:lineRule="exact"/>
        <w:rPr>
          <w:sz w:val="20"/>
          <w:szCs w:val="20"/>
          <w:color w:val="auto"/>
        </w:rPr>
      </w:pPr>
    </w:p>
    <w:p>
      <w:pPr>
        <w:jc w:val="both"/>
        <w:ind w:left="160" w:right="219" w:firstLine="784"/>
        <w:spacing w:after="0" w:line="288" w:lineRule="auto"/>
        <w:tabs>
          <w:tab w:leader="none" w:pos="1134" w:val="left"/>
        </w:tabs>
        <w:numPr>
          <w:ilvl w:val="0"/>
          <w:numId w:val="7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semi-annually, within 15 days after each Record Date, but in any event not less frequently than semi-annually, a list in such form as the Trustee may reasonably require of the names and addresses of the Holders of Securities to which such Record Date applies, as of such Record Date, and</w:t>
      </w:r>
    </w:p>
    <w:p>
      <w:pPr>
        <w:spacing w:after="0" w:line="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47</w:t>
      </w:r>
    </w:p>
    <w:p>
      <w:pPr>
        <w:sectPr>
          <w:pgSz w:w="11900" w:h="16838" w:orient="portrait"/>
          <w:cols w:equalWidth="0" w:num="1">
            <w:col w:w="9019"/>
          </w:cols>
          <w:pgMar w:left="1440" w:top="240" w:right="1440" w:bottom="1440" w:gutter="0" w:footer="0" w:header="0"/>
        </w:sectPr>
      </w:pPr>
    </w:p>
    <w:bookmarkStart w:id="81" w:name="page82"/>
    <w:bookmarkEnd w:id="81"/>
    <w:p>
      <w:pPr>
        <w:ind w:left="160" w:right="439" w:firstLine="784"/>
        <w:spacing w:after="0" w:line="288" w:lineRule="auto"/>
        <w:tabs>
          <w:tab w:leader="none" w:pos="1142" w:val="left"/>
        </w:tabs>
        <w:numPr>
          <w:ilvl w:val="0"/>
          <w:numId w:val="7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4">
                      <a:extLst>
                        <a:ext uri="{28A0092B-C50C-407E-A947-70E740481C1C}"/>
                      </a:extLst>
                    </a:blip>
                    <a:srcRect/>
                    <a:stretch>
                      <a:fillRect/>
                    </a:stretch>
                  </pic:blipFill>
                  <pic:spPr bwMode="auto">
                    <a:xfrm>
                      <a:off x="0" y="0"/>
                      <a:ext cx="7200265" cy="33020"/>
                    </a:xfrm>
                    <a:prstGeom prst="rect">
                      <a:avLst/>
                    </a:prstGeom>
                    <a:noFill/>
                  </pic:spPr>
                </pic:pic>
              </a:graphicData>
            </a:graphic>
          </wp:anchor>
        </w:drawing>
        <w:t>at such other times as the Trustee may request in writing, within 30 days after receipt by the Company of any such request, a list of similar form and content as of a date not more than 15 days prior to the time such list is furnished;</w:t>
      </w:r>
    </w:p>
    <w:p>
      <w:pPr>
        <w:spacing w:after="0" w:line="124"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4"/>
          <w:szCs w:val="14"/>
          <w:color w:val="auto"/>
        </w:rPr>
        <w:t>provided, however, that so long as the Trustee shall be the Registrar, such lists shall not be required to be furnished.</w:t>
      </w:r>
    </w:p>
    <w:p>
      <w:pPr>
        <w:spacing w:after="0" w:line="3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ARTICLE XI</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u w:val="single" w:color="auto"/>
          <w:color w:val="auto"/>
        </w:rPr>
        <w:t>CONCERNING THE TRUSTEE</w:t>
      </w:r>
    </w:p>
    <w:p>
      <w:pPr>
        <w:spacing w:after="0" w:line="181" w:lineRule="exact"/>
        <w:rPr>
          <w:sz w:val="20"/>
          <w:szCs w:val="20"/>
          <w:color w:val="auto"/>
        </w:rPr>
      </w:pPr>
    </w:p>
    <w:p>
      <w:pPr>
        <w:ind w:left="160" w:right="599" w:firstLine="347"/>
        <w:spacing w:after="0" w:line="288" w:lineRule="auto"/>
        <w:rPr>
          <w:sz w:val="20"/>
          <w:szCs w:val="20"/>
          <w:color w:val="auto"/>
        </w:rPr>
      </w:pPr>
      <w:r>
        <w:rPr>
          <w:rFonts w:ascii="Times New Roman" w:cs="Times New Roman" w:eastAsia="Times New Roman" w:hAnsi="Times New Roman"/>
          <w:sz w:val="14"/>
          <w:szCs w:val="14"/>
          <w:color w:val="auto"/>
        </w:rPr>
        <w:t xml:space="preserve">Section 11.01 </w:t>
      </w:r>
      <w:r>
        <w:rPr>
          <w:rFonts w:ascii="Times New Roman" w:cs="Times New Roman" w:eastAsia="Times New Roman" w:hAnsi="Times New Roman"/>
          <w:sz w:val="14"/>
          <w:szCs w:val="14"/>
          <w:u w:val="single" w:color="auto"/>
          <w:color w:val="auto"/>
        </w:rPr>
        <w:t>Rights of Trustees; Compensation and Indemnity</w:t>
      </w:r>
      <w:r>
        <w:rPr>
          <w:rFonts w:ascii="Times New Roman" w:cs="Times New Roman" w:eastAsia="Times New Roman" w:hAnsi="Times New Roman"/>
          <w:sz w:val="14"/>
          <w:szCs w:val="14"/>
          <w:color w:val="auto"/>
        </w:rPr>
        <w:t>. The Trustee accepts the trusts created by this Indenture upon the terms and conditions hereof, including the following, to all of which the parties hereto and the Holders from time to time of the Securities agree:</w:t>
      </w:r>
    </w:p>
    <w:p>
      <w:pPr>
        <w:spacing w:after="0" w:line="39" w:lineRule="exact"/>
        <w:rPr>
          <w:sz w:val="20"/>
          <w:szCs w:val="20"/>
          <w:color w:val="auto"/>
        </w:rPr>
      </w:pPr>
    </w:p>
    <w:p>
      <w:pPr>
        <w:ind w:left="160" w:right="259" w:firstLine="784"/>
        <w:spacing w:after="0" w:line="260" w:lineRule="auto"/>
        <w:tabs>
          <w:tab w:leader="none" w:pos="1134" w:val="left"/>
        </w:tabs>
        <w:numPr>
          <w:ilvl w:val="0"/>
          <w:numId w:val="7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Trustee shall be entitled to such compensation as the Company and the Trustee shall from time to time agree in writing for all services rendered by it hereunder (including in any agent capacity in which it acts). The compensation of the Trustee shall not be limited by any provision of law in regard to the compensation of a trustee of an express trust. The Company shall reimburse the Trustee promptly upon its request for all reasonable and documented out-of-pocket expenses, disbursements and advances incurred or made by the Trustee (including the reasonable fees and reasonable and documented expenses and disbursements of its agents and counsel), except any such expense, disbursement or advance as may be attributable to its own negligence, bad faith or willful misconduct.</w:t>
      </w:r>
    </w:p>
    <w:p>
      <w:pPr>
        <w:spacing w:after="0" w:line="145" w:lineRule="exact"/>
        <w:rPr>
          <w:sz w:val="20"/>
          <w:szCs w:val="20"/>
          <w:color w:val="auto"/>
        </w:rPr>
      </w:pPr>
    </w:p>
    <w:p>
      <w:pPr>
        <w:ind w:left="160" w:right="179" w:firstLine="347"/>
        <w:spacing w:after="0" w:line="257" w:lineRule="auto"/>
        <w:rPr>
          <w:sz w:val="20"/>
          <w:szCs w:val="20"/>
          <w:color w:val="auto"/>
        </w:rPr>
      </w:pPr>
      <w:r>
        <w:rPr>
          <w:rFonts w:ascii="Times New Roman" w:cs="Times New Roman" w:eastAsia="Times New Roman" w:hAnsi="Times New Roman"/>
          <w:sz w:val="14"/>
          <w:szCs w:val="14"/>
          <w:color w:val="auto"/>
        </w:rPr>
        <w:t>The Company also agrees to indemnify each of the Trustee and any predecessor Trustee hereunder for, and to hold it harmless against, any and all loss, liability, charge, damage, claim, or expense incurred without its own negligence, bad faith or willful misconduct, arising out of or in connection with the acceptance or administration of the trust or trusts hereunder and the performance of its duties (including in any agent capacity in which it acts), as well as the reasonable and documented costs and expenses of defending itself against any claim or liability in connection with the exercise or performance of any of its powers or duties hereunder, except those attributable to its negligence, willful misconduct or bad faith. The Trustee shall notify the Company promptly of any claim for which it may seek indemnity; provided, however, that the failure of the Trustee to provide such notice shall not relieve the Company of its indemnification obligations hereunder unless such failure is materially prejudicial to the Company’s ability to defend against or mitigate such claim. The Company shall defend the claim and the Trustee shall cooperate in the defense. The Trustee may have one counsel of its selection and the Company shall pay the reasonable and documented fees and expenses of such counsel. The Company need not pay for any settlement made without its consent, which consent shall not be unreasonably withheld.</w:t>
      </w:r>
    </w:p>
    <w:p>
      <w:pPr>
        <w:spacing w:after="0" w:line="149" w:lineRule="exact"/>
        <w:rPr>
          <w:sz w:val="20"/>
          <w:szCs w:val="20"/>
          <w:color w:val="auto"/>
        </w:rPr>
      </w:pPr>
    </w:p>
    <w:p>
      <w:pPr>
        <w:ind w:left="160" w:right="239" w:firstLine="347"/>
        <w:spacing w:after="0" w:line="265" w:lineRule="auto"/>
        <w:rPr>
          <w:sz w:val="20"/>
          <w:szCs w:val="20"/>
          <w:color w:val="auto"/>
        </w:rPr>
      </w:pPr>
      <w:r>
        <w:rPr>
          <w:rFonts w:ascii="Times New Roman" w:cs="Times New Roman" w:eastAsia="Times New Roman" w:hAnsi="Times New Roman"/>
          <w:sz w:val="14"/>
          <w:szCs w:val="14"/>
          <w:color w:val="auto"/>
        </w:rPr>
        <w:t>As security for the performance of the obligations of the Company under this Section 11.01(a), the Trustee shall have a first lien upon all property and funds held or collected by the Trustee as such, except funds held in trust by the Trustee to pay principal of, premium and interest on any Securities. Notwithstanding any provisions of this Indenture to the contrary, the obligations of the Company to compensate and indemnify the Trustee under this Section 11.01(a)</w:t>
      </w:r>
    </w:p>
    <w:p>
      <w:pPr>
        <w:spacing w:after="0" w:line="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48</w:t>
      </w:r>
    </w:p>
    <w:p>
      <w:pPr>
        <w:sectPr>
          <w:pgSz w:w="11900" w:h="16838" w:orient="portrait"/>
          <w:cols w:equalWidth="0" w:num="1">
            <w:col w:w="9019"/>
          </w:cols>
          <w:pgMar w:left="1440" w:top="242" w:right="1440" w:bottom="1440" w:gutter="0" w:footer="0" w:header="0"/>
        </w:sectPr>
      </w:pPr>
    </w:p>
    <w:bookmarkStart w:id="82" w:name="page83"/>
    <w:bookmarkEnd w:id="82"/>
    <w:p>
      <w:pPr>
        <w:jc w:val="both"/>
        <w:ind w:left="160" w:right="199"/>
        <w:spacing w:after="0" w:line="271"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5">
                      <a:extLst>
                        <a:ext uri="{28A0092B-C50C-407E-A947-70E740481C1C}"/>
                      </a:extLst>
                    </a:blip>
                    <a:srcRect/>
                    <a:stretch>
                      <a:fillRect/>
                    </a:stretch>
                  </pic:blipFill>
                  <pic:spPr bwMode="auto">
                    <a:xfrm>
                      <a:off x="0" y="0"/>
                      <a:ext cx="7200265" cy="33020"/>
                    </a:xfrm>
                    <a:prstGeom prst="rect">
                      <a:avLst/>
                    </a:prstGeom>
                    <a:noFill/>
                  </pic:spPr>
                </pic:pic>
              </a:graphicData>
            </a:graphic>
          </wp:anchor>
        </w:drawing>
        <w:t>shall survive the resignation or removal of the Trustee, the termination of this Indenture and any satisfaction and discharge under Article XII. When the Trustee incurs expenses or renders services after an Event of Default specified in clause (e) or (f) of Section 7.01 occurs, the expenses and compensation for the services are intended to constitute expenses of administration under any applicable federal or state bankruptcy, insolvency or similar laws.</w:t>
      </w:r>
    </w:p>
    <w:p>
      <w:pPr>
        <w:spacing w:after="0" w:line="136" w:lineRule="exact"/>
        <w:rPr>
          <w:sz w:val="20"/>
          <w:szCs w:val="20"/>
          <w:color w:val="auto"/>
        </w:rPr>
      </w:pPr>
    </w:p>
    <w:p>
      <w:pPr>
        <w:ind w:left="160" w:right="439" w:firstLine="784"/>
        <w:spacing w:after="0" w:line="288" w:lineRule="auto"/>
        <w:tabs>
          <w:tab w:leader="none" w:pos="1142" w:val="left"/>
        </w:tabs>
        <w:numPr>
          <w:ilvl w:val="0"/>
          <w:numId w:val="7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Trustee may execute any of the trusts or powers hereof and perform any duty hereunder either directly or by its agents and attorneys and shall not be responsible for any misconduct or negligence on the part of any agent or attorney appointed with due care by it hereunder.</w:t>
      </w:r>
    </w:p>
    <w:p>
      <w:pPr>
        <w:spacing w:after="0" w:line="124" w:lineRule="exact"/>
        <w:rPr>
          <w:rFonts w:ascii="Times New Roman" w:cs="Times New Roman" w:eastAsia="Times New Roman" w:hAnsi="Times New Roman"/>
          <w:sz w:val="14"/>
          <w:szCs w:val="14"/>
          <w:color w:val="auto"/>
        </w:rPr>
      </w:pPr>
    </w:p>
    <w:p>
      <w:pPr>
        <w:ind w:left="160" w:right="179" w:firstLine="784"/>
        <w:spacing w:after="0" w:line="258" w:lineRule="auto"/>
        <w:tabs>
          <w:tab w:leader="none" w:pos="1134" w:val="left"/>
        </w:tabs>
        <w:numPr>
          <w:ilvl w:val="0"/>
          <w:numId w:val="7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Trustee shall not be responsible in any manner whatsoever for the correctness of the recitals herein or in the Securities (except its certificates of authentication thereon) contained, all of which are made solely by the Company; and the Trustee shall not be responsible or accountable in any manner whatsoever for or with respect to the validity or execution or sufficiency of this Indenture or of the Securities (except its certificates of authentication thereon), and the Trustee makes no representation with respect thereto, except that the Trustee represents that it is duly authorized to execute and deliver this Indenture, authenticate the Securities and perform its obligations hereunder and that the statements made by it in a Statement of Eligibility on Form T-1 supplied to the Company are true and accurate, subject to the qualifications set forth therein. The Trustee shall not be accountable for the use or application by the Company of any Securities, or the proceeds of any Securities, authenticated and delivered by the Trustee in conformity with the provisions of this Indenture.</w:t>
      </w:r>
    </w:p>
    <w:p>
      <w:pPr>
        <w:spacing w:after="0" w:line="147" w:lineRule="exact"/>
        <w:rPr>
          <w:rFonts w:ascii="Times New Roman" w:cs="Times New Roman" w:eastAsia="Times New Roman" w:hAnsi="Times New Roman"/>
          <w:sz w:val="14"/>
          <w:szCs w:val="14"/>
          <w:color w:val="auto"/>
        </w:rPr>
      </w:pPr>
    </w:p>
    <w:p>
      <w:pPr>
        <w:ind w:left="160" w:right="279" w:firstLine="784"/>
        <w:spacing w:after="0" w:line="288" w:lineRule="auto"/>
        <w:tabs>
          <w:tab w:leader="none" w:pos="1142" w:val="left"/>
        </w:tabs>
        <w:numPr>
          <w:ilvl w:val="0"/>
          <w:numId w:val="7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Trustee may consult with counsel of its selection, and advice of counsel shall be full and complete authorization and protection in respect of any action taken or suffered by the Trustee hereunder in good faith and in accordance with such advice of counsel.</w:t>
      </w:r>
    </w:p>
    <w:p>
      <w:pPr>
        <w:spacing w:after="0" w:line="124" w:lineRule="exact"/>
        <w:rPr>
          <w:rFonts w:ascii="Times New Roman" w:cs="Times New Roman" w:eastAsia="Times New Roman" w:hAnsi="Times New Roman"/>
          <w:sz w:val="14"/>
          <w:szCs w:val="14"/>
          <w:color w:val="auto"/>
        </w:rPr>
      </w:pPr>
    </w:p>
    <w:p>
      <w:pPr>
        <w:ind w:left="160" w:right="219" w:firstLine="784"/>
        <w:spacing w:after="0" w:line="262" w:lineRule="auto"/>
        <w:tabs>
          <w:tab w:leader="none" w:pos="1134" w:val="left"/>
        </w:tabs>
        <w:numPr>
          <w:ilvl w:val="0"/>
          <w:numId w:val="7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Trustee may rely upon the certificate of the Secretary or one of the Assistant Secretaries of the Company as to the adoption of any Board Resolution or resolution of the stockholders of the Company, and any request, direction, order or demand of the Company mentioned herein shall be sufficiently evidenced by, and whenever in the administration of this Indenture the Trustee shall deem it desirable that a matter be proved or established prior to taking, suffering or omitting any action hereunder, the Trustee may conclusively rely upon, an Officer’s Certificate of the Company (unless other evidence in respect thereof be herein specifically prescribed).</w:t>
      </w:r>
    </w:p>
    <w:p>
      <w:pPr>
        <w:spacing w:after="0" w:line="142" w:lineRule="exact"/>
        <w:rPr>
          <w:rFonts w:ascii="Times New Roman" w:cs="Times New Roman" w:eastAsia="Times New Roman" w:hAnsi="Times New Roman"/>
          <w:sz w:val="14"/>
          <w:szCs w:val="14"/>
          <w:color w:val="auto"/>
        </w:rPr>
      </w:pPr>
    </w:p>
    <w:p>
      <w:pPr>
        <w:ind w:left="160" w:right="359" w:firstLine="784"/>
        <w:spacing w:after="0" w:line="271" w:lineRule="auto"/>
        <w:tabs>
          <w:tab w:leader="none" w:pos="1118" w:val="left"/>
        </w:tabs>
        <w:numPr>
          <w:ilvl w:val="0"/>
          <w:numId w:val="7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Trustee or any agent of the Trustee, in its individual or any other capacity, may become the owner or pledgee of Securities and, subject to Sections 310(b) and 311 of the Trust Indenture Act, may otherwise deal with the Company with the same rights it would have had if it were not the Trustee or such agent.</w:t>
      </w:r>
    </w:p>
    <w:p>
      <w:pPr>
        <w:spacing w:after="0" w:line="135" w:lineRule="exact"/>
        <w:rPr>
          <w:rFonts w:ascii="Times New Roman" w:cs="Times New Roman" w:eastAsia="Times New Roman" w:hAnsi="Times New Roman"/>
          <w:sz w:val="14"/>
          <w:szCs w:val="14"/>
          <w:color w:val="auto"/>
        </w:rPr>
      </w:pPr>
    </w:p>
    <w:p>
      <w:pPr>
        <w:ind w:left="160" w:right="199" w:firstLine="784"/>
        <w:spacing w:after="0" w:line="288" w:lineRule="auto"/>
        <w:tabs>
          <w:tab w:leader="none" w:pos="1142" w:val="left"/>
        </w:tabs>
        <w:numPr>
          <w:ilvl w:val="0"/>
          <w:numId w:val="7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Money held by the Trustee in trust hereunder need not be segregated from other funds except to the extent required by law. The Trustee shall be under no liability for interest on any money received by it hereunder.</w:t>
      </w:r>
    </w:p>
    <w:p>
      <w:pPr>
        <w:spacing w:after="0" w:line="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49</w:t>
      </w:r>
    </w:p>
    <w:p>
      <w:pPr>
        <w:sectPr>
          <w:pgSz w:w="11900" w:h="16838" w:orient="portrait"/>
          <w:cols w:equalWidth="0" w:num="1">
            <w:col w:w="9019"/>
          </w:cols>
          <w:pgMar w:left="1440" w:top="242" w:right="1440" w:bottom="1440" w:gutter="0" w:footer="0" w:header="0"/>
        </w:sectPr>
      </w:pPr>
    </w:p>
    <w:bookmarkStart w:id="83" w:name="page84"/>
    <w:bookmarkEnd w:id="83"/>
    <w:p>
      <w:pPr>
        <w:jc w:val="both"/>
        <w:ind w:left="160" w:right="199" w:firstLine="784"/>
        <w:spacing w:after="0" w:line="265" w:lineRule="auto"/>
        <w:tabs>
          <w:tab w:leader="none" w:pos="1142" w:val="left"/>
        </w:tabs>
        <w:numPr>
          <w:ilvl w:val="0"/>
          <w:numId w:val="8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6">
                      <a:extLst>
                        <a:ext uri="{28A0092B-C50C-407E-A947-70E740481C1C}"/>
                      </a:extLst>
                    </a:blip>
                    <a:srcRect/>
                    <a:stretch>
                      <a:fillRect/>
                    </a:stretch>
                  </pic:blipFill>
                  <pic:spPr bwMode="auto">
                    <a:xfrm>
                      <a:off x="0" y="0"/>
                      <a:ext cx="7200265" cy="33020"/>
                    </a:xfrm>
                    <a:prstGeom prst="rect">
                      <a:avLst/>
                    </a:prstGeom>
                    <a:noFill/>
                  </pic:spPr>
                </pic:pic>
              </a:graphicData>
            </a:graphic>
          </wp:anchor>
        </w:drawing>
        <w:t>Any action taken by the Trustee pursuant to any provision hereof at the request or with the consent of any Person who at the time is the Holder of any Security shall be conclusive and binding in respect of such Security upon all future Holders thereof or of any Security or Securities which may be issued for or in lieu thereof in whole or in part, whether or not such Security shall have noted thereon the fact that such request or consent had been made or given.</w:t>
      </w:r>
    </w:p>
    <w:p>
      <w:pPr>
        <w:spacing w:after="0" w:line="140" w:lineRule="exact"/>
        <w:rPr>
          <w:rFonts w:ascii="Times New Roman" w:cs="Times New Roman" w:eastAsia="Times New Roman" w:hAnsi="Times New Roman"/>
          <w:sz w:val="14"/>
          <w:szCs w:val="14"/>
          <w:color w:val="auto"/>
        </w:rPr>
      </w:pPr>
    </w:p>
    <w:p>
      <w:pPr>
        <w:ind w:left="160" w:right="259" w:firstLine="784"/>
        <w:spacing w:after="0" w:line="271" w:lineRule="auto"/>
        <w:tabs>
          <w:tab w:leader="none" w:pos="1111" w:val="left"/>
        </w:tabs>
        <w:numPr>
          <w:ilvl w:val="0"/>
          <w:numId w:val="8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Trustee may conclusively rely and shall be protected in acting or refraining from acting upon any resolution, certificate, statement, instrument, opinion, report, notice, request, consent, order, direction, judgment, approval, bond, debenture or other paper or document reasonably believed by it to be genuine and to have been signed or presented by the proper party or parties.</w:t>
      </w:r>
    </w:p>
    <w:p>
      <w:pPr>
        <w:spacing w:after="0" w:line="135" w:lineRule="exact"/>
        <w:rPr>
          <w:rFonts w:ascii="Times New Roman" w:cs="Times New Roman" w:eastAsia="Times New Roman" w:hAnsi="Times New Roman"/>
          <w:sz w:val="14"/>
          <w:szCs w:val="14"/>
          <w:color w:val="auto"/>
        </w:rPr>
      </w:pPr>
    </w:p>
    <w:p>
      <w:pPr>
        <w:ind w:left="160" w:right="259" w:firstLine="784"/>
        <w:spacing w:after="0" w:line="265" w:lineRule="auto"/>
        <w:tabs>
          <w:tab w:leader="none" w:pos="1108" w:val="left"/>
        </w:tabs>
        <w:numPr>
          <w:ilvl w:val="0"/>
          <w:numId w:val="8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Trustee shall not be under any obligation to exercise any of the rights or powers vested in it by this Indenture at the request, order or direction of any of the Holders of the Securities, pursuant to any provision of this Indenture, unless one or more of the Holders of the Securities shall have offered, and if requested, provided to the Trustee security or indemnity reasonably satisfactory to the Trustee against the costs, expenses and liabilities which may be incurred by it therein or thereby.</w:t>
      </w:r>
    </w:p>
    <w:p>
      <w:pPr>
        <w:spacing w:after="0" w:line="140" w:lineRule="exact"/>
        <w:rPr>
          <w:rFonts w:ascii="Times New Roman" w:cs="Times New Roman" w:eastAsia="Times New Roman" w:hAnsi="Times New Roman"/>
          <w:sz w:val="14"/>
          <w:szCs w:val="14"/>
          <w:color w:val="auto"/>
        </w:rPr>
      </w:pPr>
    </w:p>
    <w:p>
      <w:pPr>
        <w:ind w:left="160" w:right="599" w:firstLine="784"/>
        <w:spacing w:after="0" w:line="288" w:lineRule="auto"/>
        <w:tabs>
          <w:tab w:leader="none" w:pos="1142" w:val="left"/>
        </w:tabs>
        <w:numPr>
          <w:ilvl w:val="0"/>
          <w:numId w:val="8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Trustee shall not be liable for any action taken or omitted by it in good faith and believed by it to be authorized or within its discretion or within the rights or powers conferred upon it by this Indenture.</w:t>
      </w:r>
    </w:p>
    <w:p>
      <w:pPr>
        <w:spacing w:after="0" w:line="124" w:lineRule="exact"/>
        <w:rPr>
          <w:rFonts w:ascii="Times New Roman" w:cs="Times New Roman" w:eastAsia="Times New Roman" w:hAnsi="Times New Roman"/>
          <w:sz w:val="14"/>
          <w:szCs w:val="14"/>
          <w:color w:val="auto"/>
        </w:rPr>
      </w:pPr>
    </w:p>
    <w:p>
      <w:pPr>
        <w:ind w:left="160" w:right="419" w:firstLine="784"/>
        <w:spacing w:after="0" w:line="271" w:lineRule="auto"/>
        <w:tabs>
          <w:tab w:leader="none" w:pos="1111" w:val="left"/>
        </w:tabs>
        <w:numPr>
          <w:ilvl w:val="0"/>
          <w:numId w:val="8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Trustee shall not be deemed to have knowledge or notice of any Default or Event of Default unless a Responsible Officer of the Trustee has received actual written notice thereof or unless the Company or Holders of not less than 25% of the Outstanding Securities notify the Trustee thereof.</w:t>
      </w:r>
    </w:p>
    <w:p>
      <w:pPr>
        <w:spacing w:after="0" w:line="135" w:lineRule="exact"/>
        <w:rPr>
          <w:rFonts w:ascii="Times New Roman" w:cs="Times New Roman" w:eastAsia="Times New Roman" w:hAnsi="Times New Roman"/>
          <w:sz w:val="14"/>
          <w:szCs w:val="14"/>
          <w:color w:val="auto"/>
        </w:rPr>
      </w:pPr>
    </w:p>
    <w:p>
      <w:pPr>
        <w:ind w:left="160" w:right="259" w:firstLine="784"/>
        <w:spacing w:after="0" w:line="271" w:lineRule="auto"/>
        <w:tabs>
          <w:tab w:leader="none" w:pos="1181" w:val="left"/>
        </w:tabs>
        <w:numPr>
          <w:ilvl w:val="0"/>
          <w:numId w:val="8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Trustee shall not be bound to make any investigation into the facts or matters stated in any resolution, certificate, statement, instrument, opinion, report, notice, request, direction, consent, order, bond, debenture, note, other evidence of Indebtedness or other paper or document, but the Trustee may, but shall not be required to, make further inquiry or investigation into such facts or matters as it may see fit.</w:t>
      </w:r>
    </w:p>
    <w:p>
      <w:pPr>
        <w:spacing w:after="0" w:line="135" w:lineRule="exact"/>
        <w:rPr>
          <w:rFonts w:ascii="Times New Roman" w:cs="Times New Roman" w:eastAsia="Times New Roman" w:hAnsi="Times New Roman"/>
          <w:sz w:val="14"/>
          <w:szCs w:val="14"/>
          <w:color w:val="auto"/>
        </w:rPr>
      </w:pPr>
    </w:p>
    <w:p>
      <w:pPr>
        <w:ind w:left="160" w:right="859" w:firstLine="784"/>
        <w:spacing w:after="0" w:line="288" w:lineRule="auto"/>
        <w:tabs>
          <w:tab w:leader="none" w:pos="1142" w:val="left"/>
        </w:tabs>
        <w:numPr>
          <w:ilvl w:val="0"/>
          <w:numId w:val="8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rights, privileges, protections, immunities and benefits given to the Trustee, including, without limitation, its right to be indemnified, are extended to, and shall be enforceable by, the Trustee in each of its capacities hereunder.</w:t>
      </w:r>
    </w:p>
    <w:p>
      <w:pPr>
        <w:spacing w:after="0" w:line="12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 xml:space="preserve">Section 11.02 </w:t>
      </w:r>
      <w:r>
        <w:rPr>
          <w:rFonts w:ascii="Times New Roman" w:cs="Times New Roman" w:eastAsia="Times New Roman" w:hAnsi="Times New Roman"/>
          <w:sz w:val="14"/>
          <w:szCs w:val="14"/>
          <w:u w:val="single" w:color="auto"/>
          <w:color w:val="auto"/>
        </w:rPr>
        <w:t>Duties of Trustee</w:t>
      </w:r>
      <w:r>
        <w:rPr>
          <w:rFonts w:ascii="Times New Roman" w:cs="Times New Roman" w:eastAsia="Times New Roman" w:hAnsi="Times New Roman"/>
          <w:sz w:val="14"/>
          <w:szCs w:val="14"/>
          <w:color w:val="auto"/>
        </w:rPr>
        <w:t>.</w:t>
      </w:r>
    </w:p>
    <w:p>
      <w:pPr>
        <w:spacing w:after="0" w:line="179" w:lineRule="exact"/>
        <w:rPr>
          <w:sz w:val="20"/>
          <w:szCs w:val="20"/>
          <w:color w:val="auto"/>
        </w:rPr>
      </w:pPr>
    </w:p>
    <w:p>
      <w:pPr>
        <w:ind w:left="160" w:right="279" w:firstLine="784"/>
        <w:spacing w:after="0" w:line="265" w:lineRule="auto"/>
        <w:tabs>
          <w:tab w:leader="none" w:pos="1134" w:val="left"/>
        </w:tabs>
        <w:numPr>
          <w:ilvl w:val="0"/>
          <w:numId w:val="8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one or more of the Events of Default specified in Section 7.01 with respect to the Securities of any series shall have happened, then, during the continuance thereof, the Trustee shall, with respect to such Securities, exercise such of the rights and powers vested in it by this Indenture, and shall use the same degree of care and skill in their exercise, as a prudent person would exercise or use under the circumstances in the conduct of such person’s own affairs.</w:t>
      </w:r>
    </w:p>
    <w:p>
      <w:pPr>
        <w:spacing w:after="0" w:line="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50</w:t>
      </w:r>
    </w:p>
    <w:p>
      <w:pPr>
        <w:sectPr>
          <w:pgSz w:w="11900" w:h="16838" w:orient="portrait"/>
          <w:cols w:equalWidth="0" w:num="1">
            <w:col w:w="9019"/>
          </w:cols>
          <w:pgMar w:left="1440" w:top="242" w:right="1440" w:bottom="1440" w:gutter="0" w:footer="0" w:header="0"/>
        </w:sectPr>
      </w:pPr>
    </w:p>
    <w:bookmarkStart w:id="84" w:name="page85"/>
    <w:bookmarkEnd w:id="84"/>
    <w:p>
      <w:pPr>
        <w:ind w:left="160" w:right="199" w:firstLine="784"/>
        <w:spacing w:after="0" w:line="271" w:lineRule="auto"/>
        <w:tabs>
          <w:tab w:leader="none" w:pos="1142" w:val="left"/>
        </w:tabs>
        <w:numPr>
          <w:ilvl w:val="0"/>
          <w:numId w:val="8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7">
                      <a:extLst>
                        <a:ext uri="{28A0092B-C50C-407E-A947-70E740481C1C}"/>
                      </a:extLst>
                    </a:blip>
                    <a:srcRect/>
                    <a:stretch>
                      <a:fillRect/>
                    </a:stretch>
                  </pic:blipFill>
                  <pic:spPr bwMode="auto">
                    <a:xfrm>
                      <a:off x="0" y="0"/>
                      <a:ext cx="7200265" cy="33020"/>
                    </a:xfrm>
                    <a:prstGeom prst="rect">
                      <a:avLst/>
                    </a:prstGeom>
                    <a:noFill/>
                  </pic:spPr>
                </pic:pic>
              </a:graphicData>
            </a:graphic>
          </wp:anchor>
        </w:drawing>
        <w:t>None of the provisions of this Indenture shall be construed as relieving the Trustee from liability for its own negligent action, negligent failure to act, bad faith or its own willful misconduct in acting or failing to act, except that, anything in this Indenture contained to the contrary notwithstanding,</w:t>
      </w:r>
    </w:p>
    <w:p>
      <w:pPr>
        <w:spacing w:after="0" w:line="50" w:lineRule="exact"/>
        <w:rPr>
          <w:rFonts w:ascii="Times New Roman" w:cs="Times New Roman" w:eastAsia="Times New Roman" w:hAnsi="Times New Roman"/>
          <w:sz w:val="14"/>
          <w:szCs w:val="14"/>
          <w:color w:val="auto"/>
        </w:rPr>
      </w:pPr>
    </w:p>
    <w:p>
      <w:pPr>
        <w:ind w:left="520" w:right="499" w:firstLine="740"/>
        <w:spacing w:after="0" w:line="288" w:lineRule="auto"/>
        <w:tabs>
          <w:tab w:leader="none" w:pos="1439" w:val="left"/>
        </w:tabs>
        <w:numPr>
          <w:ilvl w:val="1"/>
          <w:numId w:val="8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unless and until an Event of Default specified in Section 7.01 with respect to the Securities of any series shall have happened which at the time is continuing,</w:t>
      </w:r>
    </w:p>
    <w:p>
      <w:pPr>
        <w:spacing w:after="0" w:line="39" w:lineRule="exact"/>
        <w:rPr>
          <w:rFonts w:ascii="Times New Roman" w:cs="Times New Roman" w:eastAsia="Times New Roman" w:hAnsi="Times New Roman"/>
          <w:sz w:val="14"/>
          <w:szCs w:val="14"/>
          <w:color w:val="auto"/>
        </w:rPr>
      </w:pPr>
    </w:p>
    <w:p>
      <w:pPr>
        <w:ind w:left="940" w:right="239" w:firstLine="1031"/>
        <w:spacing w:after="0" w:line="271" w:lineRule="auto"/>
        <w:tabs>
          <w:tab w:leader="none" w:pos="2199" w:val="left"/>
        </w:tabs>
        <w:numPr>
          <w:ilvl w:val="2"/>
          <w:numId w:val="8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Trustee undertakes to perform such duties and only such duties with respect to the Securities of that series as are specifically set out in this Indenture, and no implied covenants or obligations shall be read into this Indenture against the Trustee, whose duties and obligations shall be determined solely by the express provisions of this Indenture; and</w:t>
      </w:r>
    </w:p>
    <w:p>
      <w:pPr>
        <w:spacing w:after="0" w:line="50" w:lineRule="exact"/>
        <w:rPr>
          <w:rFonts w:ascii="Times New Roman" w:cs="Times New Roman" w:eastAsia="Times New Roman" w:hAnsi="Times New Roman"/>
          <w:sz w:val="14"/>
          <w:szCs w:val="14"/>
          <w:color w:val="auto"/>
        </w:rPr>
      </w:pPr>
    </w:p>
    <w:p>
      <w:pPr>
        <w:ind w:left="940" w:right="179" w:firstLine="1031"/>
        <w:spacing w:after="0" w:line="260" w:lineRule="auto"/>
        <w:tabs>
          <w:tab w:leader="none" w:pos="2192" w:val="left"/>
        </w:tabs>
        <w:numPr>
          <w:ilvl w:val="2"/>
          <w:numId w:val="8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Trustee may conclusively rely, as to the truth of the statements and the correctness of the opinions expressed therein, in the absence of bad faith on the part of the Trustee, upon certificates and opinions furnished to it pursuant to the express provisions of this Indenture; but in the case of any such certificates or opinions which, by the provisions of this Indenture, are specifically required to be furnished to the Trustee, the Trustee shall be under a duty to examine the same to determine whether or not they conform to the requirements of this Indenture (but need not confirm or investigate the accuracy of mathematical calculations or other facts, statements, opinions or conclusions stated therein);</w:t>
      </w:r>
    </w:p>
    <w:p>
      <w:pPr>
        <w:spacing w:after="0" w:line="60" w:lineRule="exact"/>
        <w:rPr>
          <w:rFonts w:ascii="Times New Roman" w:cs="Times New Roman" w:eastAsia="Times New Roman" w:hAnsi="Times New Roman"/>
          <w:sz w:val="14"/>
          <w:szCs w:val="14"/>
          <w:color w:val="auto"/>
        </w:rPr>
      </w:pPr>
    </w:p>
    <w:p>
      <w:pPr>
        <w:ind w:left="520" w:right="179" w:firstLine="740"/>
        <w:spacing w:after="0" w:line="288" w:lineRule="auto"/>
        <w:tabs>
          <w:tab w:leader="none" w:pos="1479" w:val="left"/>
        </w:tabs>
        <w:numPr>
          <w:ilvl w:val="1"/>
          <w:numId w:val="8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Trustee shall not be liable to any Holder of Securities or to any other Person for any error of judgment made in good faith by a Responsible Officer or Officers of the Trustee, unless it shall be proved that the Trustee was negligent in ascertaining the pertinent facts; and</w:t>
      </w:r>
    </w:p>
    <w:p>
      <w:pPr>
        <w:spacing w:after="0" w:line="39" w:lineRule="exact"/>
        <w:rPr>
          <w:rFonts w:ascii="Times New Roman" w:cs="Times New Roman" w:eastAsia="Times New Roman" w:hAnsi="Times New Roman"/>
          <w:sz w:val="14"/>
          <w:szCs w:val="14"/>
          <w:color w:val="auto"/>
        </w:rPr>
      </w:pPr>
    </w:p>
    <w:p>
      <w:pPr>
        <w:ind w:left="520" w:right="219" w:firstLine="740"/>
        <w:spacing w:after="0" w:line="271" w:lineRule="auto"/>
        <w:tabs>
          <w:tab w:leader="none" w:pos="1518" w:val="left"/>
        </w:tabs>
        <w:numPr>
          <w:ilvl w:val="1"/>
          <w:numId w:val="8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Trustee shall not be liable to any Holder of Securities or to any other Person with respect to any action taken or omitted to be taken by it in good faith, in accordance with the direction of Securityholders given as provided in Section 7.06, relating to the time, method and place of conducting any proceeding for any remedy available to it or exercising any trust or power conferred upon it by this Indenture.</w:t>
      </w:r>
    </w:p>
    <w:p>
      <w:pPr>
        <w:spacing w:after="0" w:line="135" w:lineRule="exact"/>
        <w:rPr>
          <w:rFonts w:ascii="Times New Roman" w:cs="Times New Roman" w:eastAsia="Times New Roman" w:hAnsi="Times New Roman"/>
          <w:sz w:val="14"/>
          <w:szCs w:val="14"/>
          <w:color w:val="auto"/>
        </w:rPr>
      </w:pPr>
    </w:p>
    <w:p>
      <w:pPr>
        <w:ind w:left="160" w:right="439" w:firstLine="784"/>
        <w:spacing w:after="0" w:line="271" w:lineRule="auto"/>
        <w:tabs>
          <w:tab w:leader="none" w:pos="1134" w:val="left"/>
        </w:tabs>
        <w:numPr>
          <w:ilvl w:val="0"/>
          <w:numId w:val="8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None of the provisions of this Indenture shall require the Trustee to expend or risk its own funds or otherwise to incur any financial liability in the performance of any of its duties hereunder, or in the exercise of any of its rights or powers, if it shall have reasonable grounds for believing that repayment of such funds or adequate indemnity against such risk or liability is not reasonably assured to it.</w:t>
      </w:r>
    </w:p>
    <w:p>
      <w:pPr>
        <w:spacing w:after="0" w:line="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51</w:t>
      </w:r>
    </w:p>
    <w:p>
      <w:pPr>
        <w:sectPr>
          <w:pgSz w:w="11900" w:h="16838" w:orient="portrait"/>
          <w:cols w:equalWidth="0" w:num="1">
            <w:col w:w="9019"/>
          </w:cols>
          <w:pgMar w:left="1440" w:top="242" w:right="1440" w:bottom="1440" w:gutter="0" w:footer="0" w:header="0"/>
        </w:sectPr>
      </w:pPr>
    </w:p>
    <w:bookmarkStart w:id="85" w:name="page86"/>
    <w:bookmarkEnd w:id="85"/>
    <w:p>
      <w:pPr>
        <w:ind w:left="160" w:right="399" w:firstLine="784"/>
        <w:spacing w:after="0" w:line="288" w:lineRule="auto"/>
        <w:tabs>
          <w:tab w:leader="none" w:pos="1142" w:val="left"/>
        </w:tabs>
        <w:numPr>
          <w:ilvl w:val="0"/>
          <w:numId w:val="8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8">
                      <a:extLst>
                        <a:ext uri="{28A0092B-C50C-407E-A947-70E740481C1C}"/>
                      </a:extLst>
                    </a:blip>
                    <a:srcRect/>
                    <a:stretch>
                      <a:fillRect/>
                    </a:stretch>
                  </pic:blipFill>
                  <pic:spPr bwMode="auto">
                    <a:xfrm>
                      <a:off x="0" y="0"/>
                      <a:ext cx="7200265" cy="33020"/>
                    </a:xfrm>
                    <a:prstGeom prst="rect">
                      <a:avLst/>
                    </a:prstGeom>
                    <a:noFill/>
                  </pic:spPr>
                </pic:pic>
              </a:graphicData>
            </a:graphic>
          </wp:anchor>
        </w:drawing>
        <w:t>Whether or not therein expressly so provided, every provision of this Indenture relating to the conduct or affecting the liability of or affording protection to the Trustee shall be subject to the provisions of this Section 11.02.</w:t>
      </w:r>
    </w:p>
    <w:p>
      <w:pPr>
        <w:spacing w:after="0" w:line="124" w:lineRule="exact"/>
        <w:rPr>
          <w:rFonts w:ascii="Times New Roman" w:cs="Times New Roman" w:eastAsia="Times New Roman" w:hAnsi="Times New Roman"/>
          <w:sz w:val="14"/>
          <w:szCs w:val="14"/>
          <w:color w:val="auto"/>
        </w:rPr>
      </w:pPr>
    </w:p>
    <w:p>
      <w:pPr>
        <w:ind w:left="160" w:right="179" w:firstLine="784"/>
        <w:spacing w:after="0" w:line="262" w:lineRule="auto"/>
        <w:tabs>
          <w:tab w:leader="none" w:pos="1134" w:val="left"/>
        </w:tabs>
        <w:numPr>
          <w:ilvl w:val="0"/>
          <w:numId w:val="8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Trustee shall not incur any liability for not performing any act or fulfilling any duty, obligation or responsibility hereunder by reason of any occurrence beyond its own control that could not have reasonably been avoided or overcome (including but not limited to any act or provision of any present or future law or regulation or Governmental Authority restricting or prohibiting the performance of obligations contemplated by this Indenture, any act of God or war, civil unrest, strikes, work stoppages, local or national disturbance or disaster, pandemic or epidemic, any act of terrorism, or the unavailability of the Federal Reserve Bank wire or other wire or communication facility).</w:t>
      </w:r>
    </w:p>
    <w:p>
      <w:pPr>
        <w:spacing w:after="0" w:line="142" w:lineRule="exact"/>
        <w:rPr>
          <w:rFonts w:ascii="Times New Roman" w:cs="Times New Roman" w:eastAsia="Times New Roman" w:hAnsi="Times New Roman"/>
          <w:sz w:val="14"/>
          <w:szCs w:val="14"/>
          <w:color w:val="auto"/>
        </w:rPr>
      </w:pPr>
    </w:p>
    <w:p>
      <w:pPr>
        <w:ind w:left="160" w:right="379" w:firstLine="784"/>
        <w:spacing w:after="0" w:line="271" w:lineRule="auto"/>
        <w:tabs>
          <w:tab w:leader="none" w:pos="1118" w:val="left"/>
        </w:tabs>
        <w:numPr>
          <w:ilvl w:val="0"/>
          <w:numId w:val="8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no event shall the Trustee be responsible or liable for special, indirect, punitive or consequential loss or damage of any kind whatsoever (including, but not limited to, loss of profit) irrespective of whether the Trustee has been advised of the likelihood of such loss or damage and regardless of the form of action.</w:t>
      </w:r>
    </w:p>
    <w:p>
      <w:pPr>
        <w:spacing w:after="0" w:line="136" w:lineRule="exact"/>
        <w:rPr>
          <w:sz w:val="20"/>
          <w:szCs w:val="20"/>
          <w:color w:val="auto"/>
        </w:rPr>
      </w:pPr>
    </w:p>
    <w:p>
      <w:pPr>
        <w:ind w:left="160" w:right="179" w:firstLine="347"/>
        <w:spacing w:after="0" w:line="258" w:lineRule="auto"/>
        <w:rPr>
          <w:sz w:val="20"/>
          <w:szCs w:val="20"/>
          <w:color w:val="auto"/>
        </w:rPr>
      </w:pPr>
      <w:r>
        <w:rPr>
          <w:rFonts w:ascii="Times New Roman" w:cs="Times New Roman" w:eastAsia="Times New Roman" w:hAnsi="Times New Roman"/>
          <w:sz w:val="14"/>
          <w:szCs w:val="14"/>
          <w:color w:val="auto"/>
        </w:rPr>
        <w:t xml:space="preserve">Section 11.03 </w:t>
      </w:r>
      <w:r>
        <w:rPr>
          <w:rFonts w:ascii="Times New Roman" w:cs="Times New Roman" w:eastAsia="Times New Roman" w:hAnsi="Times New Roman"/>
          <w:sz w:val="14"/>
          <w:szCs w:val="14"/>
          <w:u w:val="single" w:color="auto"/>
          <w:color w:val="auto"/>
        </w:rPr>
        <w:t>Notice of Defaults</w:t>
      </w:r>
      <w:r>
        <w:rPr>
          <w:rFonts w:ascii="Times New Roman" w:cs="Times New Roman" w:eastAsia="Times New Roman" w:hAnsi="Times New Roman"/>
          <w:sz w:val="14"/>
          <w:szCs w:val="14"/>
          <w:color w:val="auto"/>
        </w:rPr>
        <w:t>. Within 90 days after the occurrence thereof, and if known to the Trustee, the Trustee shall give to the Holders of the Securities of a series notice of each Default or Event of Default with respect to the Securities of such series known to the Trustee, by transmitting such notice to Holders at their addresses as the same shall then appear on the Register of the Company, unless such Default shall have been cured or waived before the giving of such notice (the term “Default” being hereby defined to be the events specified in Section 7.01, which are, or after notice or lapse of time or both would become, Events of Default as defined in said Section). Except in the case of a Default or Event of Default in payment of the principal of, premium, if any, or interest on any of the Securities of such series when and as the same shall become payable, or to make any sinking fund payment as to Securities of the same series, the Trustee shall be protected in withholding such notice, if and so long as a Responsible Officer or Responsible Officers of the Trustee in good faith determines that the withholding of such notice is in the interests of the Holders of the Securities of such series.</w:t>
      </w:r>
    </w:p>
    <w:p>
      <w:pPr>
        <w:spacing w:after="0" w:line="31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 xml:space="preserve">Section 11.04 </w:t>
      </w:r>
      <w:r>
        <w:rPr>
          <w:rFonts w:ascii="Times New Roman" w:cs="Times New Roman" w:eastAsia="Times New Roman" w:hAnsi="Times New Roman"/>
          <w:sz w:val="14"/>
          <w:szCs w:val="14"/>
          <w:u w:val="single" w:color="auto"/>
          <w:color w:val="auto"/>
        </w:rPr>
        <w:t>Eligibility; Disqualification</w:t>
      </w:r>
      <w:r>
        <w:rPr>
          <w:rFonts w:ascii="Times New Roman" w:cs="Times New Roman" w:eastAsia="Times New Roman" w:hAnsi="Times New Roman"/>
          <w:sz w:val="14"/>
          <w:szCs w:val="14"/>
          <w:color w:val="auto"/>
        </w:rPr>
        <w:t>.</w:t>
      </w:r>
    </w:p>
    <w:p>
      <w:pPr>
        <w:spacing w:after="0" w:line="179" w:lineRule="exact"/>
        <w:rPr>
          <w:sz w:val="20"/>
          <w:szCs w:val="20"/>
          <w:color w:val="auto"/>
        </w:rPr>
      </w:pPr>
    </w:p>
    <w:p>
      <w:pPr>
        <w:ind w:left="160" w:right="179" w:firstLine="784"/>
        <w:spacing w:after="0" w:line="265" w:lineRule="auto"/>
        <w:tabs>
          <w:tab w:leader="none" w:pos="1134" w:val="left"/>
        </w:tabs>
        <w:numPr>
          <w:ilvl w:val="0"/>
          <w:numId w:val="8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Trustee shall at all times satisfy the requirements of TIA Section 310(a). The Trustee shall have a combined capital and surplus of at least $50 million as set forth in its most recent published annual report of condition, and shall have a Corporate Trust Office. If at any time the Trustee shall cease to be eligible in accordance with the provisions of this Section 11.04, it shall resign immediately in the manner and with the effect hereinafter specified in this Article.</w:t>
      </w:r>
    </w:p>
    <w:p>
      <w:pPr>
        <w:spacing w:after="0" w:line="140" w:lineRule="exact"/>
        <w:rPr>
          <w:rFonts w:ascii="Times New Roman" w:cs="Times New Roman" w:eastAsia="Times New Roman" w:hAnsi="Times New Roman"/>
          <w:sz w:val="14"/>
          <w:szCs w:val="14"/>
          <w:color w:val="auto"/>
        </w:rPr>
      </w:pPr>
    </w:p>
    <w:p>
      <w:pPr>
        <w:ind w:left="1140" w:hanging="196"/>
        <w:spacing w:after="0"/>
        <w:tabs>
          <w:tab w:leader="none" w:pos="1140" w:val="left"/>
        </w:tabs>
        <w:numPr>
          <w:ilvl w:val="0"/>
          <w:numId w:val="8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Trustee shall comply with TIA Section 310(b); provided, however, that there shall be excluded from the operation of TIA</w:t>
      </w:r>
    </w:p>
    <w:p>
      <w:pPr>
        <w:spacing w:after="0" w:line="23" w:lineRule="exact"/>
        <w:rPr>
          <w:sz w:val="20"/>
          <w:szCs w:val="20"/>
          <w:color w:val="auto"/>
        </w:rPr>
      </w:pPr>
    </w:p>
    <w:p>
      <w:pPr>
        <w:ind w:left="160" w:right="259"/>
        <w:spacing w:after="0" w:line="260" w:lineRule="auto"/>
        <w:rPr>
          <w:sz w:val="20"/>
          <w:szCs w:val="20"/>
          <w:color w:val="auto"/>
        </w:rPr>
      </w:pPr>
      <w:r>
        <w:rPr>
          <w:rFonts w:ascii="Times New Roman" w:cs="Times New Roman" w:eastAsia="Times New Roman" w:hAnsi="Times New Roman"/>
          <w:sz w:val="14"/>
          <w:szCs w:val="14"/>
          <w:color w:val="auto"/>
        </w:rPr>
        <w:t>Section 310(b)(i) any indenture or indentures under which other securities or certificates of interest or participation in other securities of the Company are outstanding if the requirements for such exclusion set forth in TIA Section 310(b)(i) are met. If the Trustee has or shall acquire a conflicting interest within the meaning of Section 310(b) of the Trust Indenture Act, the Trustee shall either eliminate such</w:t>
      </w:r>
    </w:p>
    <w:p>
      <w:pPr>
        <w:spacing w:after="0" w:line="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52</w:t>
      </w:r>
    </w:p>
    <w:p>
      <w:pPr>
        <w:sectPr>
          <w:pgSz w:w="11900" w:h="16838" w:orient="portrait"/>
          <w:cols w:equalWidth="0" w:num="1">
            <w:col w:w="9019"/>
          </w:cols>
          <w:pgMar w:left="1440" w:top="242" w:right="1440" w:bottom="1440" w:gutter="0" w:footer="0" w:header="0"/>
        </w:sectPr>
      </w:pPr>
    </w:p>
    <w:bookmarkStart w:id="86" w:name="page87"/>
    <w:bookmarkEnd w:id="86"/>
    <w:p>
      <w:pPr>
        <w:ind w:left="160"/>
        <w:spacing w:after="0"/>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9">
                      <a:extLst>
                        <a:ext uri="{28A0092B-C50C-407E-A947-70E740481C1C}"/>
                      </a:extLst>
                    </a:blip>
                    <a:srcRect/>
                    <a:stretch>
                      <a:fillRect/>
                    </a:stretch>
                  </pic:blipFill>
                  <pic:spPr bwMode="auto">
                    <a:xfrm>
                      <a:off x="0" y="0"/>
                      <a:ext cx="7200265" cy="33020"/>
                    </a:xfrm>
                    <a:prstGeom prst="rect">
                      <a:avLst/>
                    </a:prstGeom>
                    <a:noFill/>
                  </pic:spPr>
                </pic:pic>
              </a:graphicData>
            </a:graphic>
          </wp:anchor>
        </w:drawing>
        <w:t>interest or resign, to the extent and in the manner provided by, and subject to the provisions of, the Trust Indenture Act and this Indenture. If</w:t>
      </w:r>
    </w:p>
    <w:p>
      <w:pPr>
        <w:spacing w:after="0" w:line="23" w:lineRule="exact"/>
        <w:rPr>
          <w:sz w:val="20"/>
          <w:szCs w:val="20"/>
          <w:color w:val="auto"/>
        </w:rPr>
      </w:pPr>
    </w:p>
    <w:p>
      <w:pPr>
        <w:ind w:left="160" w:right="319"/>
        <w:spacing w:after="0" w:line="260" w:lineRule="auto"/>
        <w:rPr>
          <w:sz w:val="20"/>
          <w:szCs w:val="20"/>
          <w:color w:val="auto"/>
        </w:rPr>
      </w:pPr>
      <w:r>
        <w:rPr>
          <w:rFonts w:ascii="Times New Roman" w:cs="Times New Roman" w:eastAsia="Times New Roman" w:hAnsi="Times New Roman"/>
          <w:sz w:val="14"/>
          <w:szCs w:val="14"/>
          <w:color w:val="auto"/>
        </w:rPr>
        <w:t>Section 310(b) of the Trust Indenture Act is amended any time after the date of this Indenture to change the circumstances under which a Trustee shall be deemed to have a conflicting interest with respect to the Securities of any series or to change any of the definitions in connection therewith, this Section 11.04 shall be automatically amended to incorporate such changes.</w:t>
      </w:r>
    </w:p>
    <w:p>
      <w:pPr>
        <w:spacing w:after="0" w:line="144" w:lineRule="exact"/>
        <w:rPr>
          <w:sz w:val="20"/>
          <w:szCs w:val="20"/>
          <w:color w:val="auto"/>
        </w:rPr>
      </w:pPr>
    </w:p>
    <w:p>
      <w:pPr>
        <w:ind w:left="160" w:right="179" w:firstLine="347"/>
        <w:spacing w:after="0" w:line="260" w:lineRule="auto"/>
        <w:rPr>
          <w:sz w:val="20"/>
          <w:szCs w:val="20"/>
          <w:color w:val="auto"/>
        </w:rPr>
      </w:pPr>
      <w:r>
        <w:rPr>
          <w:rFonts w:ascii="Times New Roman" w:cs="Times New Roman" w:eastAsia="Times New Roman" w:hAnsi="Times New Roman"/>
          <w:sz w:val="14"/>
          <w:szCs w:val="14"/>
          <w:color w:val="auto"/>
        </w:rPr>
        <w:t xml:space="preserve">Section 11.05 </w:t>
      </w:r>
      <w:r>
        <w:rPr>
          <w:rFonts w:ascii="Times New Roman" w:cs="Times New Roman" w:eastAsia="Times New Roman" w:hAnsi="Times New Roman"/>
          <w:sz w:val="14"/>
          <w:szCs w:val="14"/>
          <w:u w:val="single" w:color="auto"/>
          <w:color w:val="auto"/>
        </w:rPr>
        <w:t>Resignation and Notice; Removal</w:t>
      </w:r>
      <w:r>
        <w:rPr>
          <w:rFonts w:ascii="Times New Roman" w:cs="Times New Roman" w:eastAsia="Times New Roman" w:hAnsi="Times New Roman"/>
          <w:sz w:val="14"/>
          <w:szCs w:val="14"/>
          <w:color w:val="auto"/>
        </w:rPr>
        <w:t>. The Trustee, or any successor to it hereafter appointed, may at any time resign and be discharged of the trusts hereby created with respect to any one or more or all series of Securities by giving to the Company notice in writing. Such resignation shall take effect upon the appointment of a successor Trustee and the acceptance of such appointment by such successor Trustee. Any Trustee hereunder may be removed with respect to any series of Securities at any time by the filing with such Trustee and the delivery to the Company of an instrument or instruments in writing signed by the Holders of a majority in principal amount of the Securities of such series then Outstanding, specifying such removal and the date when it shall become effective and may appoint a successor Trustee reasonably acceptable to the Company.</w:t>
      </w:r>
    </w:p>
    <w:p>
      <w:pPr>
        <w:spacing w:after="0" w:line="14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If at any time:</w:t>
      </w:r>
    </w:p>
    <w:p>
      <w:pPr>
        <w:spacing w:after="0" w:line="94" w:lineRule="exact"/>
        <w:rPr>
          <w:sz w:val="20"/>
          <w:szCs w:val="20"/>
          <w:color w:val="auto"/>
        </w:rPr>
      </w:pPr>
    </w:p>
    <w:p>
      <w:pPr>
        <w:jc w:val="both"/>
        <w:ind w:left="160" w:right="199" w:firstLine="350"/>
        <w:spacing w:after="0" w:line="271" w:lineRule="auto"/>
        <w:tabs>
          <w:tab w:leader="none" w:pos="708" w:val="left"/>
        </w:tabs>
        <w:numPr>
          <w:ilvl w:val="0"/>
          <w:numId w:val="8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Trustee shall fail to comply with the provisions of TIA Section 310(b) after written request therefor by the Company or by any Holder who has been a bona fide Holder of a Security for at least six months (or, if it is a shorter period, the period since the initial issuance of the Securities of such series), or</w:t>
      </w:r>
    </w:p>
    <w:p>
      <w:pPr>
        <w:spacing w:after="0" w:line="135" w:lineRule="exact"/>
        <w:rPr>
          <w:rFonts w:ascii="Times New Roman" w:cs="Times New Roman" w:eastAsia="Times New Roman" w:hAnsi="Times New Roman"/>
          <w:sz w:val="14"/>
          <w:szCs w:val="14"/>
          <w:color w:val="auto"/>
        </w:rPr>
      </w:pPr>
    </w:p>
    <w:p>
      <w:pPr>
        <w:jc w:val="both"/>
        <w:ind w:left="160" w:right="559" w:firstLine="350"/>
        <w:spacing w:after="0" w:line="271" w:lineRule="auto"/>
        <w:tabs>
          <w:tab w:leader="none" w:pos="708" w:val="left"/>
        </w:tabs>
        <w:numPr>
          <w:ilvl w:val="0"/>
          <w:numId w:val="8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Trustee shall cease to be eligible under Section 11.04 and shall fail to resign after written request therefor by the Company or by any Holder who has been a bona fide Holder of a Security for at least six months (or, if it is a shorter period, the period since the initial issuance of the Securities of such series), or</w:t>
      </w:r>
    </w:p>
    <w:p>
      <w:pPr>
        <w:spacing w:after="0" w:line="135" w:lineRule="exact"/>
        <w:rPr>
          <w:rFonts w:ascii="Times New Roman" w:cs="Times New Roman" w:eastAsia="Times New Roman" w:hAnsi="Times New Roman"/>
          <w:sz w:val="14"/>
          <w:szCs w:val="14"/>
          <w:color w:val="auto"/>
        </w:rPr>
      </w:pPr>
    </w:p>
    <w:p>
      <w:pPr>
        <w:ind w:left="160" w:right="239" w:firstLine="350"/>
        <w:spacing w:after="0" w:line="271" w:lineRule="auto"/>
        <w:tabs>
          <w:tab w:leader="none" w:pos="708" w:val="left"/>
        </w:tabs>
        <w:numPr>
          <w:ilvl w:val="0"/>
          <w:numId w:val="8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Trustee shall become incapable of acting or shall be adjudged a bankrupt or insolvent or a receiver of the Trustee or of its property shall be appointed or any public officer shall take charge or control of the Trustee or of its property or affairs for the purpose of rehabilitation, conservation or liquidation,</w:t>
      </w:r>
    </w:p>
    <w:p>
      <w:pPr>
        <w:spacing w:after="0" w:line="136" w:lineRule="exact"/>
        <w:rPr>
          <w:sz w:val="20"/>
          <w:szCs w:val="20"/>
          <w:color w:val="auto"/>
        </w:rPr>
      </w:pPr>
    </w:p>
    <w:p>
      <w:pPr>
        <w:ind w:left="160" w:right="359"/>
        <w:spacing w:after="0" w:line="262" w:lineRule="auto"/>
        <w:rPr>
          <w:sz w:val="20"/>
          <w:szCs w:val="20"/>
          <w:color w:val="auto"/>
        </w:rPr>
      </w:pPr>
      <w:r>
        <w:rPr>
          <w:rFonts w:ascii="Times New Roman" w:cs="Times New Roman" w:eastAsia="Times New Roman" w:hAnsi="Times New Roman"/>
          <w:sz w:val="14"/>
          <w:szCs w:val="14"/>
          <w:color w:val="auto"/>
        </w:rPr>
        <w:t>then, in any such case, (i) the Company by written notice to the Trustee may remove the Trustee and appoint a successor Trustee with respect to all Securities, or (ii) subject to TIA Section 315(e), any Securityholder who has been a bona fide Holder of a Security for at least six months (or, if it is a shorter period, the period since the initial issuance of the Securities of such series) may, on behalf of himself and all others similarly situated, petition any court of competent jurisdiction for the removal of the Trustee with respect to all Securities and the appointment of a successor Trustee or Trustees reasonably acceptable to the Company.</w:t>
      </w:r>
    </w:p>
    <w:p>
      <w:pPr>
        <w:spacing w:after="0" w:line="143" w:lineRule="exact"/>
        <w:rPr>
          <w:sz w:val="20"/>
          <w:szCs w:val="20"/>
          <w:color w:val="auto"/>
        </w:rPr>
      </w:pPr>
    </w:p>
    <w:p>
      <w:pPr>
        <w:ind w:left="160" w:right="199" w:firstLine="347"/>
        <w:spacing w:after="0" w:line="288" w:lineRule="auto"/>
        <w:rPr>
          <w:sz w:val="20"/>
          <w:szCs w:val="20"/>
          <w:color w:val="auto"/>
        </w:rPr>
      </w:pPr>
      <w:r>
        <w:rPr>
          <w:rFonts w:ascii="Times New Roman" w:cs="Times New Roman" w:eastAsia="Times New Roman" w:hAnsi="Times New Roman"/>
          <w:sz w:val="14"/>
          <w:szCs w:val="14"/>
          <w:color w:val="auto"/>
        </w:rPr>
        <w:t>In addition, the Company may remove the Trustee with respect to Securities of any series without cause if the Company gives written notice to the Trustee of such proposed removal at least three months in advance of the proposed effective date of such removal.</w:t>
      </w:r>
    </w:p>
    <w:p>
      <w:pPr>
        <w:spacing w:after="0" w:line="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53</w:t>
      </w:r>
    </w:p>
    <w:p>
      <w:pPr>
        <w:sectPr>
          <w:pgSz w:w="11900" w:h="16838" w:orient="portrait"/>
          <w:cols w:equalWidth="0" w:num="1">
            <w:col w:w="9019"/>
          </w:cols>
          <w:pgMar w:left="1440" w:top="242" w:right="1440" w:bottom="1440" w:gutter="0" w:footer="0" w:header="0"/>
        </w:sectPr>
      </w:pPr>
    </w:p>
    <w:bookmarkStart w:id="87" w:name="page88"/>
    <w:bookmarkEnd w:id="87"/>
    <w:p>
      <w:pPr>
        <w:jc w:val="both"/>
        <w:ind w:left="160" w:right="319" w:firstLine="347"/>
        <w:spacing w:after="0" w:line="271"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20">
                      <a:extLst>
                        <a:ext uri="{28A0092B-C50C-407E-A947-70E740481C1C}"/>
                      </a:extLst>
                    </a:blip>
                    <a:srcRect/>
                    <a:stretch>
                      <a:fillRect/>
                    </a:stretch>
                  </pic:blipFill>
                  <pic:spPr bwMode="auto">
                    <a:xfrm>
                      <a:off x="0" y="0"/>
                      <a:ext cx="7200265" cy="33020"/>
                    </a:xfrm>
                    <a:prstGeom prst="rect">
                      <a:avLst/>
                    </a:prstGeom>
                    <a:noFill/>
                  </pic:spPr>
                </pic:pic>
              </a:graphicData>
            </a:graphic>
          </wp:anchor>
        </w:drawing>
        <w:t>Upon its resignation or removal, any Trustee shall be entitled to the payment of reasonable compensation for the services rendered hereunder by such Trustee and to the payment of all reasonable and documented expenses incurred hereunder and all moneys then due to it hereunder. The Trustee’s rights to indemnification provided in Section 11.01(a) shall survive its resignation or removal.</w:t>
      </w:r>
    </w:p>
    <w:p>
      <w:pPr>
        <w:spacing w:after="0" w:line="13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 xml:space="preserve">Section 11.06 </w:t>
      </w:r>
      <w:r>
        <w:rPr>
          <w:rFonts w:ascii="Times New Roman" w:cs="Times New Roman" w:eastAsia="Times New Roman" w:hAnsi="Times New Roman"/>
          <w:sz w:val="14"/>
          <w:szCs w:val="14"/>
          <w:u w:val="single" w:color="auto"/>
          <w:color w:val="auto"/>
        </w:rPr>
        <w:t>Successor Trustee by Appointment</w:t>
      </w:r>
      <w:r>
        <w:rPr>
          <w:rFonts w:ascii="Times New Roman" w:cs="Times New Roman" w:eastAsia="Times New Roman" w:hAnsi="Times New Roman"/>
          <w:sz w:val="14"/>
          <w:szCs w:val="14"/>
          <w:color w:val="auto"/>
        </w:rPr>
        <w:t>.</w:t>
      </w:r>
    </w:p>
    <w:p>
      <w:pPr>
        <w:spacing w:after="0" w:line="179" w:lineRule="exact"/>
        <w:rPr>
          <w:sz w:val="20"/>
          <w:szCs w:val="20"/>
          <w:color w:val="auto"/>
        </w:rPr>
      </w:pPr>
    </w:p>
    <w:p>
      <w:pPr>
        <w:ind w:left="160" w:right="199" w:firstLine="784"/>
        <w:spacing w:after="0" w:line="257" w:lineRule="auto"/>
        <w:tabs>
          <w:tab w:leader="none" w:pos="1134" w:val="left"/>
        </w:tabs>
        <w:numPr>
          <w:ilvl w:val="0"/>
          <w:numId w:val="8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case at any time the Trustee shall resign, or shall be removed or if a vacancy exists in the office of the Trustee for any reason, with respect to Securities of any or all series, the Company shall promptly appoint a successor Trustee. However, if all or substantially all the assets of the Company shall be in the possession of one or more custodians or receivers lawfully appointed, or of trustees in bankruptcy or reorganization proceedings (including a trustee or trustees appointed under the provisions of the federal bankruptcy laws, as now or hereafter constituted), or of assignees for the benefit of creditors, such receivers, custodians, trustees or assignees, as the case may be, shall promptly appoint a successor Trustee with respect to the Securities of any or all series. Subject to the provisions of Sections 11.04 and 11.05, upon the appointment as aforesaid of a successor Trustee with respect to the Securities of any series, the Trustee with respect to the Securities of such series shall cease to be Trustee hereunder. After any such appointment other than by the Holders of Securities of any such series, the Person making such appointment shall forthwith cause notice thereof to be mailed to the Holders of Securities of such series at their addresses as the same shall then appear on the Register of the Company. Any failure of the Company to mail such notice, or any defect therein, shall not, however, in any way impair or affect the validity of such appointment.</w:t>
      </w:r>
    </w:p>
    <w:p>
      <w:pPr>
        <w:spacing w:after="0" w:line="148" w:lineRule="exact"/>
        <w:rPr>
          <w:rFonts w:ascii="Times New Roman" w:cs="Times New Roman" w:eastAsia="Times New Roman" w:hAnsi="Times New Roman"/>
          <w:sz w:val="14"/>
          <w:szCs w:val="14"/>
          <w:color w:val="auto"/>
        </w:rPr>
      </w:pPr>
    </w:p>
    <w:p>
      <w:pPr>
        <w:ind w:left="160" w:right="179" w:firstLine="784"/>
        <w:spacing w:after="0" w:line="259" w:lineRule="auto"/>
        <w:tabs>
          <w:tab w:leader="none" w:pos="1142" w:val="left"/>
        </w:tabs>
        <w:numPr>
          <w:ilvl w:val="0"/>
          <w:numId w:val="8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any Trustee with respect to the Securities of any series shall resign or be removed and a successor Trustee shall not have been appointed by the Company within 30 days of the Trustee’s resignation or removal or, if any successor Trustee so appointed shall not have accepted its appointment within 30 days after such appointment shall have been made, the resigning Trustee at the expense of the Company may apply to any court of competent jurisdiction for the appointment of a successor Trustee. If in any other case a successor Trustee shall not be appointed pursuant to the foregoing provisions of this Section 11.06 within three months after such appointment might have been made hereunder, the Holder of any Security of the applicable series or any retiring Trustee at the expense of the Company may apply to any court of competent jurisdiction to appoint a successor Trustee. Such court may thereupon, in any such case, after such notice, if any, as such court may deem proper and prescribe, appoint a successor Trustee.</w:t>
      </w:r>
    </w:p>
    <w:p>
      <w:pPr>
        <w:spacing w:after="0" w:line="145" w:lineRule="exact"/>
        <w:rPr>
          <w:rFonts w:ascii="Times New Roman" w:cs="Times New Roman" w:eastAsia="Times New Roman" w:hAnsi="Times New Roman"/>
          <w:sz w:val="14"/>
          <w:szCs w:val="14"/>
          <w:color w:val="auto"/>
        </w:rPr>
      </w:pPr>
    </w:p>
    <w:p>
      <w:pPr>
        <w:ind w:left="160" w:right="199" w:firstLine="784"/>
        <w:spacing w:after="0" w:line="260" w:lineRule="auto"/>
        <w:tabs>
          <w:tab w:leader="none" w:pos="1134" w:val="left"/>
        </w:tabs>
        <w:numPr>
          <w:ilvl w:val="0"/>
          <w:numId w:val="8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successor Trustee appointed hereunder with respect to the Securities of one or more series shall execute, acknowledge and deliver to its predecessor Trustee and to the Company, or to the receivers, trustees, assignees or court appointing it, as the case may be, an instrument accepting such appointment hereunder, and thereupon such successor Trustee, without any further act, deed or conveyance, shall become vested with all the authority, rights, powers, trusts, immunities, duties and obligations with respect to such series of such predecessor Trustee with like effect as if originally named as Trustee hereunder, and such predecessor Trustee, upon payment of its charges and disbursements then unpaid, shall thereupon become obligated to pay over, and such successor Trustee shall be entitled to receive, all moneys</w:t>
      </w:r>
    </w:p>
    <w:p>
      <w:pPr>
        <w:spacing w:after="0" w:line="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54</w:t>
      </w:r>
    </w:p>
    <w:p>
      <w:pPr>
        <w:sectPr>
          <w:pgSz w:w="11900" w:h="16838" w:orient="portrait"/>
          <w:cols w:equalWidth="0" w:num="1">
            <w:col w:w="9019"/>
          </w:cols>
          <w:pgMar w:left="1440" w:top="242" w:right="1440" w:bottom="1440" w:gutter="0" w:footer="0" w:header="0"/>
        </w:sectPr>
      </w:pPr>
    </w:p>
    <w:bookmarkStart w:id="88" w:name="page89"/>
    <w:bookmarkEnd w:id="88"/>
    <w:p>
      <w:pPr>
        <w:ind w:left="160" w:right="239"/>
        <w:spacing w:after="0" w:line="258"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1">
                      <a:extLst>
                        <a:ext uri="{28A0092B-C50C-407E-A947-70E740481C1C}"/>
                      </a:extLst>
                    </a:blip>
                    <a:srcRect/>
                    <a:stretch>
                      <a:fillRect/>
                    </a:stretch>
                  </pic:blipFill>
                  <pic:spPr bwMode="auto">
                    <a:xfrm>
                      <a:off x="0" y="0"/>
                      <a:ext cx="7200265" cy="33020"/>
                    </a:xfrm>
                    <a:prstGeom prst="rect">
                      <a:avLst/>
                    </a:prstGeom>
                    <a:noFill/>
                  </pic:spPr>
                </pic:pic>
              </a:graphicData>
            </a:graphic>
          </wp:anchor>
        </w:drawing>
        <w:t>and properties held by such predecessor Trustee as Trustee hereunder with respect to the Securities of such series, subject nevertheless to its lien provided for in Section 11.01(a). Nevertheless, on the written request of the Company or of the successor Trustee or of the Holders of at least 10% in principal amount of the Securities of any such series then Outstanding, such predecessor Trustee, upon payment of its said charges and disbursements, shall execute and deliver an instrument transferring to such successor Trustee upon the trusts herein expressed all the rights, powers and trusts of such predecessor Trustee with respect to the Securities of such series and shall assign, transfer and deliver to the successor Trustee all moneys and properties held by such predecessor Trustee with respect to the Securities of such series, subject nevertheless to its lien provided for in Section 11.01(a); and, upon request of any such successor Trustee or the Company shall make, execute, acknowledge and deliver any and all instruments in writing for more fully and effectually vesting in and confirming to such successor Trustee all such authority, rights, powers, trusts, immunities, duties and obligations.</w:t>
      </w:r>
    </w:p>
    <w:p>
      <w:pPr>
        <w:spacing w:after="0" w:line="148" w:lineRule="exact"/>
        <w:rPr>
          <w:sz w:val="20"/>
          <w:szCs w:val="20"/>
          <w:color w:val="auto"/>
        </w:rPr>
      </w:pPr>
    </w:p>
    <w:p>
      <w:pPr>
        <w:ind w:left="160" w:right="219" w:firstLine="347"/>
        <w:spacing w:after="0" w:line="256" w:lineRule="auto"/>
        <w:rPr>
          <w:sz w:val="20"/>
          <w:szCs w:val="20"/>
          <w:color w:val="auto"/>
        </w:rPr>
      </w:pPr>
      <w:r>
        <w:rPr>
          <w:rFonts w:ascii="Times New Roman" w:cs="Times New Roman" w:eastAsia="Times New Roman" w:hAnsi="Times New Roman"/>
          <w:sz w:val="14"/>
          <w:szCs w:val="14"/>
          <w:color w:val="auto"/>
        </w:rPr>
        <w:t xml:space="preserve">Section 11.07 </w:t>
      </w:r>
      <w:r>
        <w:rPr>
          <w:rFonts w:ascii="Times New Roman" w:cs="Times New Roman" w:eastAsia="Times New Roman" w:hAnsi="Times New Roman"/>
          <w:sz w:val="14"/>
          <w:szCs w:val="14"/>
          <w:u w:val="single" w:color="auto"/>
          <w:color w:val="auto"/>
        </w:rPr>
        <w:t>Successor Trustee by Merger</w:t>
      </w:r>
      <w:r>
        <w:rPr>
          <w:rFonts w:ascii="Times New Roman" w:cs="Times New Roman" w:eastAsia="Times New Roman" w:hAnsi="Times New Roman"/>
          <w:sz w:val="14"/>
          <w:szCs w:val="14"/>
          <w:color w:val="auto"/>
        </w:rPr>
        <w:t>. Any Person into which the Trustee or any successor to it in the trusts created by this Indenture shall be merged or converted, or any Person with which it or any successor to it shall be consolidated, or any Person resulting from any merger, conversion or consolidation to which the Trustee or any such successor to it shall be a party, or any Person to which the Trustee or any successor to it shall sell or otherwise transfer all or substantially all of the corporate trust business of the Trustee, shall be the successor Trustee under this Indenture without the execution or filing of any paper or any further act on the part of any of the parties hereto; provided that such Person shall be otherwise qualified and eligible under this Article. In case at the time such successor to the Trustee shall succeed to the trusts created by this Indenture with respect to one or more series of Securities, any of such Securities shall have been authenticated but not delivered by the Trustee then in office, any successor to such Trustee may adopt the certificate of authentication of any predecessor Trustee, and deliver such Securities so authenticated; and in case at that time any of the Securities shall not have been authenticated, any successor to the Trustee may authenticate such Securities either in the name of any predecessor hereunder or in the name of the successor Trustee; and in all such cases such certificates shall have the full force which it is anywhere in the Securities or in this Indenture provided that the certificate of the Trustee shall have; provided, however, that the right to adopt the certificate of authentication of any predecessor Trustee or authenticate Securities in the name of any predecessor Trustee shall apply only to its successor or successors by merger, conversion or consolidation.</w:t>
      </w:r>
    </w:p>
    <w:p>
      <w:pPr>
        <w:spacing w:after="0" w:line="151" w:lineRule="exact"/>
        <w:rPr>
          <w:sz w:val="20"/>
          <w:szCs w:val="20"/>
          <w:color w:val="auto"/>
        </w:rPr>
      </w:pPr>
    </w:p>
    <w:p>
      <w:pPr>
        <w:ind w:left="160" w:right="179" w:firstLine="347"/>
        <w:spacing w:after="0" w:line="260" w:lineRule="auto"/>
        <w:rPr>
          <w:sz w:val="20"/>
          <w:szCs w:val="20"/>
          <w:color w:val="auto"/>
        </w:rPr>
      </w:pPr>
      <w:r>
        <w:rPr>
          <w:rFonts w:ascii="Times New Roman" w:cs="Times New Roman" w:eastAsia="Times New Roman" w:hAnsi="Times New Roman"/>
          <w:sz w:val="14"/>
          <w:szCs w:val="14"/>
          <w:color w:val="auto"/>
        </w:rPr>
        <w:t xml:space="preserve">Section 11.08 </w:t>
      </w:r>
      <w:r>
        <w:rPr>
          <w:rFonts w:ascii="Times New Roman" w:cs="Times New Roman" w:eastAsia="Times New Roman" w:hAnsi="Times New Roman"/>
          <w:sz w:val="14"/>
          <w:szCs w:val="14"/>
          <w:u w:val="single" w:color="auto"/>
          <w:color w:val="auto"/>
        </w:rPr>
        <w:t>Right to Rely on Officer’s Certificate</w:t>
      </w:r>
      <w:r>
        <w:rPr>
          <w:rFonts w:ascii="Times New Roman" w:cs="Times New Roman" w:eastAsia="Times New Roman" w:hAnsi="Times New Roman"/>
          <w:sz w:val="14"/>
          <w:szCs w:val="14"/>
          <w:color w:val="auto"/>
        </w:rPr>
        <w:t>. Whenever in the administration of the provisions of this Indenture the Trustee shall deem it necessary or desirable that a matter be proved or established prior to taking or suffering any action hereunder, such matter (unless other evidence in respect thereof be herein specifically prescribed) may, in the absence of negligence, bad faith or willful misconduct on the part of the Trustee, be deemed to be conclusively proved and established by an Officer’s Certificate with respect thereto delivered to the Trustee, and such Officer’s Certificate, in the absence of negligence, bad faith or willful misconduct on the part of the Trustee, shall be full warrant to the Trustee for any action taken, suffered or omitted by it under the provisions of this Indenture upon the faith thereof.</w:t>
      </w:r>
    </w:p>
    <w:p>
      <w:pPr>
        <w:spacing w:after="0" w:line="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55</w:t>
      </w:r>
    </w:p>
    <w:p>
      <w:pPr>
        <w:sectPr>
          <w:pgSz w:w="11900" w:h="16838" w:orient="portrait"/>
          <w:cols w:equalWidth="0" w:num="1">
            <w:col w:w="9019"/>
          </w:cols>
          <w:pgMar w:left="1440" w:top="242" w:right="1440" w:bottom="1440" w:gutter="0" w:footer="0" w:header="0"/>
        </w:sectPr>
      </w:pPr>
    </w:p>
    <w:bookmarkStart w:id="89" w:name="page90"/>
    <w:bookmarkEnd w:id="89"/>
    <w:p>
      <w:pPr>
        <w:ind w:left="160" w:right="219" w:firstLine="347"/>
        <w:spacing w:after="0" w:line="260"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2">
                      <a:extLst>
                        <a:ext uri="{28A0092B-C50C-407E-A947-70E740481C1C}"/>
                      </a:extLst>
                    </a:blip>
                    <a:srcRect/>
                    <a:stretch>
                      <a:fillRect/>
                    </a:stretch>
                  </pic:blipFill>
                  <pic:spPr bwMode="auto">
                    <a:xfrm>
                      <a:off x="0" y="0"/>
                      <a:ext cx="7200265" cy="33020"/>
                    </a:xfrm>
                    <a:prstGeom prst="rect">
                      <a:avLst/>
                    </a:prstGeom>
                    <a:noFill/>
                  </pic:spPr>
                </pic:pic>
              </a:graphicData>
            </a:graphic>
          </wp:anchor>
        </w:drawing>
        <w:t xml:space="preserve">Section 11.09 </w:t>
      </w:r>
      <w:r>
        <w:rPr>
          <w:rFonts w:ascii="Times New Roman" w:cs="Times New Roman" w:eastAsia="Times New Roman" w:hAnsi="Times New Roman"/>
          <w:sz w:val="14"/>
          <w:szCs w:val="14"/>
          <w:u w:val="single" w:color="auto"/>
          <w:color w:val="auto"/>
        </w:rPr>
        <w:t>Appointment of Authenticating Agent</w:t>
      </w:r>
      <w:r>
        <w:rPr>
          <w:rFonts w:ascii="Times New Roman" w:cs="Times New Roman" w:eastAsia="Times New Roman" w:hAnsi="Times New Roman"/>
          <w:sz w:val="14"/>
          <w:szCs w:val="14"/>
          <w:color w:val="auto"/>
        </w:rPr>
        <w:t>. The Trustee may appoint an agent (the “Authenticating Agent”) acceptable to the Company to authenticate the Securities, and the Trustee shall give written notice of such appointment to all Holders of Securities of the series with respect to which such Authenticating Agent will serve. Unless limited by the terms of such appointment, any such Authenticating Agent may authenticate Securities whenever the Trustee may do so. Each reference in this Indenture to authentication by the Trustee includes authentication by the Authenticating Agent. Securities so authenticated shall be entitled to the benefits of this Indenture and shall be valid and obligatory for all purposes as if authenticated by the Trustee hereunder.</w:t>
      </w:r>
    </w:p>
    <w:p>
      <w:pPr>
        <w:spacing w:after="0" w:line="145" w:lineRule="exact"/>
        <w:rPr>
          <w:sz w:val="20"/>
          <w:szCs w:val="20"/>
          <w:color w:val="auto"/>
        </w:rPr>
      </w:pPr>
    </w:p>
    <w:p>
      <w:pPr>
        <w:ind w:left="160" w:right="179" w:firstLine="347"/>
        <w:spacing w:after="0" w:line="259" w:lineRule="auto"/>
        <w:rPr>
          <w:sz w:val="20"/>
          <w:szCs w:val="20"/>
          <w:color w:val="auto"/>
        </w:rPr>
      </w:pPr>
      <w:r>
        <w:rPr>
          <w:rFonts w:ascii="Times New Roman" w:cs="Times New Roman" w:eastAsia="Times New Roman" w:hAnsi="Times New Roman"/>
          <w:sz w:val="14"/>
          <w:szCs w:val="14"/>
          <w:color w:val="auto"/>
        </w:rPr>
        <w:t>Each Authenticating Agent shall at all times be a corporation organized and doing business and in good standing under the laws of the United States, any State thereof or the District of Columbia, authorized under such laws to act as Authenticating Agent, having a combined capital and surplus of not less than $50,000,000 and subject to supervision or examination by Federal or State authority. If such corporation publishes reports of condition at least annually, pursuant to law or to the requirements of said supervising or examining authority, then for the purposes of this Article XI, the combined capital and surplus of such corporation shall be deemed to be its combined capital and surplus as set forth in its most recent report of condition so published. If at any time an Authenticating Agent shall cease to be eligible in accordance with the provisions of this Article XI, it shall resign immediately in the manner and with the effect specified in this Article XI.</w:t>
      </w:r>
    </w:p>
    <w:p>
      <w:pPr>
        <w:spacing w:after="0" w:line="146" w:lineRule="exact"/>
        <w:rPr>
          <w:sz w:val="20"/>
          <w:szCs w:val="20"/>
          <w:color w:val="auto"/>
        </w:rPr>
      </w:pPr>
    </w:p>
    <w:p>
      <w:pPr>
        <w:ind w:left="160" w:right="199" w:firstLine="347"/>
        <w:spacing w:after="0" w:line="262" w:lineRule="auto"/>
        <w:rPr>
          <w:sz w:val="20"/>
          <w:szCs w:val="20"/>
          <w:color w:val="auto"/>
        </w:rPr>
      </w:pPr>
      <w:r>
        <w:rPr>
          <w:rFonts w:ascii="Times New Roman" w:cs="Times New Roman" w:eastAsia="Times New Roman" w:hAnsi="Times New Roman"/>
          <w:sz w:val="14"/>
          <w:szCs w:val="14"/>
          <w:color w:val="auto"/>
        </w:rPr>
        <w:t>Any corporation into which an Authenticating Agent may be merged or converted or with which it may be consolidated, or any corporation resulting from any merger, conversion or consolidation to which such Authenticating Agent shall be a party, or any corporation succeeding to the corporate agency or corporate trust business of an Authenticating Agent, shall continue to be an Authenticating Agent, provided such corporation shall be otherwise eligible under this Article XI, without the execution or filing of any paper or any further act on the part of the Trustee or the Authenticating Agent.</w:t>
      </w:r>
    </w:p>
    <w:p>
      <w:pPr>
        <w:spacing w:after="0" w:line="143" w:lineRule="exact"/>
        <w:rPr>
          <w:sz w:val="20"/>
          <w:szCs w:val="20"/>
          <w:color w:val="auto"/>
        </w:rPr>
      </w:pPr>
    </w:p>
    <w:p>
      <w:pPr>
        <w:ind w:left="160" w:right="219" w:firstLine="347"/>
        <w:spacing w:after="0" w:line="258" w:lineRule="auto"/>
        <w:rPr>
          <w:sz w:val="20"/>
          <w:szCs w:val="20"/>
          <w:color w:val="auto"/>
        </w:rPr>
      </w:pPr>
      <w:r>
        <w:rPr>
          <w:rFonts w:ascii="Times New Roman" w:cs="Times New Roman" w:eastAsia="Times New Roman" w:hAnsi="Times New Roman"/>
          <w:sz w:val="14"/>
          <w:szCs w:val="14"/>
          <w:color w:val="auto"/>
        </w:rPr>
        <w:t>An Authenticating Agent may resign at any time by giving written notice thereof to the Trustee and to the Company. The Trustee may at any time terminate the agency of an Authenticating Agent by giving written notice thereof to such Authenticating Agent and to the Company. Upon receiving such a notice of resignation or upon such a termination, or in case at any time such Authenticating Agent shall cease to be eligible in accordance with the provisions of this Section 11.09, the Trustee may appoint a successor Authenticating Agent which shall be acceptable to the Company and shall give written notice of such appointment to all Holders of Securities of the series with respect to which such Authenticating Agent will serve. Any successor Authenticating Agent upon acceptance of its appointment hereunder shall become vested with all the rights, powers and duties of its predecessor hereunder, with like effect as if originally named as an Authenticating Agent. No successor Authenticating Agent shall be appointed unless eligible under the provisions of this Section 11.09.</w:t>
      </w:r>
    </w:p>
    <w:p>
      <w:pPr>
        <w:spacing w:after="0" w:line="14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The Company agrees to pay to each Authenticating Agent from time to time reasonable compensation for its services under this Section 11.09.</w:t>
      </w:r>
    </w:p>
    <w:p>
      <w:pPr>
        <w:spacing w:after="0" w:line="179" w:lineRule="exact"/>
        <w:rPr>
          <w:sz w:val="20"/>
          <w:szCs w:val="20"/>
          <w:color w:val="auto"/>
        </w:rPr>
      </w:pPr>
    </w:p>
    <w:p>
      <w:pPr>
        <w:ind w:left="160" w:right="559" w:firstLine="347"/>
        <w:spacing w:after="0" w:line="271" w:lineRule="auto"/>
        <w:rPr>
          <w:sz w:val="20"/>
          <w:szCs w:val="20"/>
          <w:color w:val="auto"/>
        </w:rPr>
      </w:pPr>
      <w:r>
        <w:rPr>
          <w:rFonts w:ascii="Times New Roman" w:cs="Times New Roman" w:eastAsia="Times New Roman" w:hAnsi="Times New Roman"/>
          <w:sz w:val="14"/>
          <w:szCs w:val="14"/>
          <w:color w:val="auto"/>
        </w:rPr>
        <w:t xml:space="preserve">Section 11.10 </w:t>
      </w:r>
      <w:r>
        <w:rPr>
          <w:rFonts w:ascii="Times New Roman" w:cs="Times New Roman" w:eastAsia="Times New Roman" w:hAnsi="Times New Roman"/>
          <w:sz w:val="14"/>
          <w:szCs w:val="14"/>
          <w:u w:val="single" w:color="auto"/>
          <w:color w:val="auto"/>
        </w:rPr>
        <w:t>Communications by Securityholders with Other Securityholders</w:t>
      </w:r>
      <w:r>
        <w:rPr>
          <w:rFonts w:ascii="Times New Roman" w:cs="Times New Roman" w:eastAsia="Times New Roman" w:hAnsi="Times New Roman"/>
          <w:sz w:val="14"/>
          <w:szCs w:val="14"/>
          <w:color w:val="auto"/>
        </w:rPr>
        <w:t>. Holders of Securities may communicate pursuant to Section 312(b) of the Trust Indenture Act with other Holders with respect to their rights under this Indenture or the Securities. The Company, the Trustee, the Registrar and anyone else shall have the protection of Section 312(c) of the Trust Indenture Act with respect to such communications.</w:t>
      </w:r>
    </w:p>
    <w:p>
      <w:pPr>
        <w:spacing w:after="0" w:line="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56</w:t>
      </w:r>
    </w:p>
    <w:p>
      <w:pPr>
        <w:sectPr>
          <w:pgSz w:w="11900" w:h="16838" w:orient="portrait"/>
          <w:cols w:equalWidth="0" w:num="1">
            <w:col w:w="9019"/>
          </w:cols>
          <w:pgMar w:left="1440" w:top="242" w:right="1440" w:bottom="1440" w:gutter="0" w:footer="0" w:header="0"/>
        </w:sectPr>
      </w:pPr>
    </w:p>
    <w:bookmarkStart w:id="90" w:name="page91"/>
    <w:bookmarkEnd w:id="90"/>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3">
                      <a:extLst>
                        <a:ext uri="{28A0092B-C50C-407E-A947-70E740481C1C}"/>
                      </a:extLst>
                    </a:blip>
                    <a:srcRect/>
                    <a:stretch>
                      <a:fillRect/>
                    </a:stretch>
                  </pic:blipFill>
                  <pic:spPr bwMode="auto">
                    <a:xfrm>
                      <a:off x="0" y="0"/>
                      <a:ext cx="7200265" cy="33020"/>
                    </a:xfrm>
                    <a:prstGeom prst="rect">
                      <a:avLst/>
                    </a:prstGeom>
                    <a:noFill/>
                  </pic:spPr>
                </pic:pic>
              </a:graphicData>
            </a:graphic>
          </wp:anchor>
        </w:drawing>
        <w:t>ARTICLE XII</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u w:val="single" w:color="auto"/>
          <w:color w:val="auto"/>
        </w:rPr>
        <w:t>SATISFACTION AND DISCHARGE; DEFEASANCE</w:t>
      </w:r>
    </w:p>
    <w:p>
      <w:pPr>
        <w:spacing w:after="0" w:line="181" w:lineRule="exact"/>
        <w:rPr>
          <w:sz w:val="20"/>
          <w:szCs w:val="20"/>
          <w:color w:val="auto"/>
        </w:rPr>
      </w:pPr>
    </w:p>
    <w:p>
      <w:pPr>
        <w:ind w:left="160" w:right="599" w:firstLine="347"/>
        <w:spacing w:after="0" w:line="288" w:lineRule="auto"/>
        <w:rPr>
          <w:sz w:val="20"/>
          <w:szCs w:val="20"/>
          <w:color w:val="auto"/>
        </w:rPr>
      </w:pPr>
      <w:r>
        <w:rPr>
          <w:rFonts w:ascii="Times New Roman" w:cs="Times New Roman" w:eastAsia="Times New Roman" w:hAnsi="Times New Roman"/>
          <w:sz w:val="14"/>
          <w:szCs w:val="14"/>
          <w:color w:val="auto"/>
        </w:rPr>
        <w:t xml:space="preserve">Section 12.01 </w:t>
      </w:r>
      <w:r>
        <w:rPr>
          <w:rFonts w:ascii="Times New Roman" w:cs="Times New Roman" w:eastAsia="Times New Roman" w:hAnsi="Times New Roman"/>
          <w:sz w:val="14"/>
          <w:szCs w:val="14"/>
          <w:u w:val="single" w:color="auto"/>
          <w:color w:val="auto"/>
        </w:rPr>
        <w:t>Applicability of Article</w:t>
      </w:r>
      <w:r>
        <w:rPr>
          <w:rFonts w:ascii="Times New Roman" w:cs="Times New Roman" w:eastAsia="Times New Roman" w:hAnsi="Times New Roman"/>
          <w:sz w:val="14"/>
          <w:szCs w:val="14"/>
          <w:color w:val="auto"/>
        </w:rPr>
        <w:t>. The provisions of this Article shall be applicable to the Securities of all series issued pursuant to this Indenture, except as otherwise specified pursuant to Section 3.01.</w:t>
      </w:r>
    </w:p>
    <w:p>
      <w:pPr>
        <w:spacing w:after="0" w:line="124" w:lineRule="exact"/>
        <w:rPr>
          <w:sz w:val="20"/>
          <w:szCs w:val="20"/>
          <w:color w:val="auto"/>
        </w:rPr>
      </w:pPr>
    </w:p>
    <w:p>
      <w:pPr>
        <w:ind w:left="160" w:right="239" w:firstLine="347"/>
        <w:spacing w:after="0" w:line="260" w:lineRule="auto"/>
        <w:rPr>
          <w:sz w:val="20"/>
          <w:szCs w:val="20"/>
          <w:color w:val="auto"/>
        </w:rPr>
      </w:pPr>
      <w:r>
        <w:rPr>
          <w:rFonts w:ascii="Times New Roman" w:cs="Times New Roman" w:eastAsia="Times New Roman" w:hAnsi="Times New Roman"/>
          <w:sz w:val="14"/>
          <w:szCs w:val="14"/>
          <w:color w:val="auto"/>
        </w:rPr>
        <w:t xml:space="preserve">Section 12.02 </w:t>
      </w:r>
      <w:r>
        <w:rPr>
          <w:rFonts w:ascii="Times New Roman" w:cs="Times New Roman" w:eastAsia="Times New Roman" w:hAnsi="Times New Roman"/>
          <w:sz w:val="14"/>
          <w:szCs w:val="14"/>
          <w:u w:val="single" w:color="auto"/>
          <w:color w:val="auto"/>
        </w:rPr>
        <w:t>Satisfaction and Discharge of Indenture</w:t>
      </w:r>
      <w:r>
        <w:rPr>
          <w:rFonts w:ascii="Times New Roman" w:cs="Times New Roman" w:eastAsia="Times New Roman" w:hAnsi="Times New Roman"/>
          <w:sz w:val="14"/>
          <w:szCs w:val="14"/>
          <w:color w:val="auto"/>
        </w:rPr>
        <w:t>. This Indenture, with respect to the Securities of any series (if all series issued under this Indenture are not to be affected), shall, upon Company Order, cease to be of further effect (except as to any surviving rights of registration of transfer or exchange of such Securities herein expressly provided for and the rights of the Holders of the Securities of such series to receive, the principal of and premium, if any, and interest on such Securities as and when the same shall become due and payable and except as otherwise provided in the last paragraph of this Section 12.02), and the Trustee, at the expense of the Company, shall execute proper instruments acknowledging satisfaction and discharge of this Indenture with respect to the Securities of such series, when,</w:t>
      </w:r>
    </w:p>
    <w:p>
      <w:pPr>
        <w:spacing w:after="0" w:line="145" w:lineRule="exact"/>
        <w:rPr>
          <w:sz w:val="20"/>
          <w:szCs w:val="20"/>
          <w:color w:val="auto"/>
        </w:rPr>
      </w:pPr>
    </w:p>
    <w:p>
      <w:pPr>
        <w:ind w:left="1140" w:hanging="196"/>
        <w:spacing w:after="0"/>
        <w:tabs>
          <w:tab w:leader="none" w:pos="1140" w:val="left"/>
        </w:tabs>
        <w:numPr>
          <w:ilvl w:val="0"/>
          <w:numId w:val="8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either:</w:t>
      </w:r>
    </w:p>
    <w:p>
      <w:pPr>
        <w:spacing w:after="0" w:line="94" w:lineRule="exact"/>
        <w:rPr>
          <w:rFonts w:ascii="Times New Roman" w:cs="Times New Roman" w:eastAsia="Times New Roman" w:hAnsi="Times New Roman"/>
          <w:sz w:val="14"/>
          <w:szCs w:val="14"/>
          <w:color w:val="auto"/>
        </w:rPr>
      </w:pPr>
    </w:p>
    <w:p>
      <w:pPr>
        <w:ind w:left="520" w:right="179" w:firstLine="740"/>
        <w:spacing w:after="0" w:line="265" w:lineRule="auto"/>
        <w:tabs>
          <w:tab w:leader="none" w:pos="1439" w:val="left"/>
        </w:tabs>
        <w:numPr>
          <w:ilvl w:val="1"/>
          <w:numId w:val="8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Securities of such series theretofore authenticated and delivered (other than (A) Securities that have been destroyed, lost or stolen and that have been replaced or paid as provided in Section 3.07 and (B) Securities for whose payment money has theretofore been deposited in trust or segregated and held in trust by the Company and thereafter repaid to the Company or discharged from such trust, as provided in Section 6.03(e)) have been delivered to the Trustee for cancellation; or</w:t>
      </w:r>
    </w:p>
    <w:p>
      <w:pPr>
        <w:spacing w:after="0" w:line="55" w:lineRule="exact"/>
        <w:rPr>
          <w:rFonts w:ascii="Times New Roman" w:cs="Times New Roman" w:eastAsia="Times New Roman" w:hAnsi="Times New Roman"/>
          <w:sz w:val="14"/>
          <w:szCs w:val="14"/>
          <w:color w:val="auto"/>
        </w:rPr>
      </w:pPr>
    </w:p>
    <w:p>
      <w:pPr>
        <w:ind w:left="1460" w:hanging="200"/>
        <w:spacing w:after="0"/>
        <w:tabs>
          <w:tab w:leader="none" w:pos="1460" w:val="left"/>
        </w:tabs>
        <w:numPr>
          <w:ilvl w:val="1"/>
          <w:numId w:val="8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Securities of such series not theretofore delivered to the Trustee for cancellation,</w:t>
      </w:r>
    </w:p>
    <w:p>
      <w:pPr>
        <w:spacing w:after="0" w:line="94" w:lineRule="exact"/>
        <w:rPr>
          <w:rFonts w:ascii="Times New Roman" w:cs="Times New Roman" w:eastAsia="Times New Roman" w:hAnsi="Times New Roman"/>
          <w:sz w:val="14"/>
          <w:szCs w:val="14"/>
          <w:color w:val="auto"/>
        </w:rPr>
      </w:pPr>
    </w:p>
    <w:p>
      <w:pPr>
        <w:ind w:left="2200" w:hanging="229"/>
        <w:spacing w:after="0"/>
        <w:tabs>
          <w:tab w:leader="none" w:pos="2200" w:val="left"/>
        </w:tabs>
        <w:numPr>
          <w:ilvl w:val="2"/>
          <w:numId w:val="8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have become due and payable, or</w:t>
      </w:r>
    </w:p>
    <w:p>
      <w:pPr>
        <w:spacing w:after="0" w:line="94" w:lineRule="exact"/>
        <w:rPr>
          <w:rFonts w:ascii="Times New Roman" w:cs="Times New Roman" w:eastAsia="Times New Roman" w:hAnsi="Times New Roman"/>
          <w:sz w:val="14"/>
          <w:szCs w:val="14"/>
          <w:color w:val="auto"/>
        </w:rPr>
      </w:pPr>
    </w:p>
    <w:p>
      <w:pPr>
        <w:ind w:left="2200" w:hanging="229"/>
        <w:spacing w:after="0"/>
        <w:tabs>
          <w:tab w:leader="none" w:pos="2200" w:val="left"/>
        </w:tabs>
        <w:numPr>
          <w:ilvl w:val="2"/>
          <w:numId w:val="8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will become due and payable at their Stated Maturity within one year, or</w:t>
      </w:r>
    </w:p>
    <w:p>
      <w:pPr>
        <w:spacing w:after="0" w:line="94" w:lineRule="exact"/>
        <w:rPr>
          <w:rFonts w:ascii="Times New Roman" w:cs="Times New Roman" w:eastAsia="Times New Roman" w:hAnsi="Times New Roman"/>
          <w:sz w:val="14"/>
          <w:szCs w:val="14"/>
          <w:color w:val="auto"/>
        </w:rPr>
      </w:pPr>
    </w:p>
    <w:p>
      <w:pPr>
        <w:ind w:left="940" w:right="199" w:firstLine="1031"/>
        <w:spacing w:after="0" w:line="271" w:lineRule="auto"/>
        <w:tabs>
          <w:tab w:leader="none" w:pos="2192" w:val="left"/>
        </w:tabs>
        <w:numPr>
          <w:ilvl w:val="2"/>
          <w:numId w:val="8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redeemable at the option of the Company (including, without limitation, by operation of any mandatory sinking fund), are to be called for redemption within one year under arrangements satisfactory to the Trustee for the giving of notice of redemption by the Trustee in the name, and at the expense, of the Company,</w:t>
      </w:r>
    </w:p>
    <w:p>
      <w:pPr>
        <w:spacing w:after="0" w:line="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57</w:t>
      </w:r>
    </w:p>
    <w:p>
      <w:pPr>
        <w:sectPr>
          <w:pgSz w:w="11900" w:h="16838" w:orient="portrait"/>
          <w:cols w:equalWidth="0" w:num="1">
            <w:col w:w="9019"/>
          </w:cols>
          <w:pgMar w:left="1440" w:top="240" w:right="1440" w:bottom="1440" w:gutter="0" w:footer="0" w:header="0"/>
        </w:sectPr>
      </w:pPr>
    </w:p>
    <w:bookmarkStart w:id="91" w:name="page92"/>
    <w:bookmarkEnd w:id="91"/>
    <w:p>
      <w:pPr>
        <w:ind w:left="940" w:right="179"/>
        <w:spacing w:after="0" w:line="256"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4">
                      <a:extLst>
                        <a:ext uri="{28A0092B-C50C-407E-A947-70E740481C1C}"/>
                      </a:extLst>
                    </a:blip>
                    <a:srcRect/>
                    <a:stretch>
                      <a:fillRect/>
                    </a:stretch>
                  </pic:blipFill>
                  <pic:spPr bwMode="auto">
                    <a:xfrm>
                      <a:off x="0" y="0"/>
                      <a:ext cx="7200265" cy="33020"/>
                    </a:xfrm>
                    <a:prstGeom prst="rect">
                      <a:avLst/>
                    </a:prstGeom>
                    <a:noFill/>
                  </pic:spPr>
                </pic:pic>
              </a:graphicData>
            </a:graphic>
          </wp:anchor>
        </w:drawing>
        <w:t>and the Company, in the case of (A), (B) or (C) above, has irrevocably deposited or caused to be deposited with the Trustee funds in trust for the purpose an amount in cash in the Currency in which such Securities are payable (subject to Section 12.08) sufficient to pay and discharge the entire indebtedness on such Securities for principal and premium, if any, and interest to the date of such deposit (in the case of Securities that have become due and payable) or to the Stated Maturity thereof or, in the case of Securities of such series which are to be called for redemption as contemplated by (C) above, the applicable Redemption Date, as the case may be, and including any mandatory sinking fund payments as and when the same shall become due and payable; provided, however, that, if a Default of the nature described in clauses (e) or (f) of Section 7.01 shall have occurred at any time during the period ending on and including the date of such deposit or if the Trustee or any Paying Agent is required to return the monies then on deposit with or held by the Trustee or such Paying Agent to the Company or to a trustee in bankruptcy, receiver, conservator or other similar Person, or the Trustee or any Paying Agent is not permitted to apply any such funds to pay the principal of and premium, if any, and interest on the Securities of such series (including to make sinking fund payments) as and when the same shall become due and payable, the obligations of the Company under this Indenture with respect to such Securities shall not be deemed terminated or discharged;</w:t>
      </w:r>
    </w:p>
    <w:p>
      <w:pPr>
        <w:spacing w:after="0" w:line="152"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4"/>
          <w:szCs w:val="14"/>
          <w:color w:val="auto"/>
        </w:rPr>
        <w:t>(b) the Company has paid or caused to be paid all other sums payable hereunder by the Company with respect to the Securities of such</w:t>
      </w:r>
    </w:p>
    <w:p>
      <w:pPr>
        <w:spacing w:after="0" w:line="2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4"/>
          <w:szCs w:val="14"/>
          <w:color w:val="auto"/>
        </w:rPr>
        <w:t>series; and</w:t>
      </w:r>
    </w:p>
    <w:p>
      <w:pPr>
        <w:spacing w:after="0" w:line="165" w:lineRule="exact"/>
        <w:rPr>
          <w:sz w:val="20"/>
          <w:szCs w:val="20"/>
          <w:color w:val="auto"/>
        </w:rPr>
      </w:pPr>
    </w:p>
    <w:p>
      <w:pPr>
        <w:ind w:left="160" w:right="259" w:firstLine="784"/>
        <w:spacing w:after="0" w:line="288" w:lineRule="auto"/>
        <w:tabs>
          <w:tab w:leader="none" w:pos="1134" w:val="left"/>
        </w:tabs>
        <w:numPr>
          <w:ilvl w:val="0"/>
          <w:numId w:val="8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has delivered to the Trustee an Officer’s Certificate and an Opinion of Counsel each stating that all conditions precedent herein provided for relating to the satisfaction and discharge of this Indenture with respect to such series have been complied with.</w:t>
      </w:r>
    </w:p>
    <w:p>
      <w:pPr>
        <w:spacing w:after="0" w:line="124" w:lineRule="exact"/>
        <w:rPr>
          <w:sz w:val="20"/>
          <w:szCs w:val="20"/>
          <w:color w:val="auto"/>
        </w:rPr>
      </w:pPr>
    </w:p>
    <w:p>
      <w:pPr>
        <w:ind w:left="160" w:right="439"/>
        <w:spacing w:after="0" w:line="264" w:lineRule="auto"/>
        <w:rPr>
          <w:sz w:val="20"/>
          <w:szCs w:val="20"/>
          <w:color w:val="auto"/>
        </w:rPr>
      </w:pPr>
      <w:r>
        <w:rPr>
          <w:rFonts w:ascii="Times New Roman" w:cs="Times New Roman" w:eastAsia="Times New Roman" w:hAnsi="Times New Roman"/>
          <w:sz w:val="14"/>
          <w:szCs w:val="14"/>
          <w:color w:val="auto"/>
        </w:rPr>
        <w:t>Notwithstanding the satisfaction and discharge of this Indenture with respect to the Securities of any series, the obligations of the Company to the Trustee under Section 11.01 and in the case of satisfaction and discharge under Section 12.02, the provisions of Sections 3.04, 3.05, 3.06, 3.07, 3.10,</w:t>
      </w:r>
    </w:p>
    <w:p>
      <w:pPr>
        <w:ind w:left="160" w:right="299"/>
        <w:spacing w:after="0" w:line="257" w:lineRule="auto"/>
        <w:rPr>
          <w:sz w:val="20"/>
          <w:szCs w:val="20"/>
          <w:color w:val="auto"/>
        </w:rPr>
      </w:pPr>
      <w:r>
        <w:rPr>
          <w:rFonts w:ascii="Times New Roman" w:cs="Times New Roman" w:eastAsia="Times New Roman" w:hAnsi="Times New Roman"/>
          <w:sz w:val="14"/>
          <w:szCs w:val="14"/>
          <w:color w:val="auto"/>
        </w:rPr>
        <w:t>6.02 and 6.03 and this Article XII, and, if the Securities of such series are to be redeemed prior to their Stated Maturity (including, without limitation, pursuant to a mandatory sinking fund), the provisions of Article IV hereof, and, if the Securities of such series are convertible into or exchangeable for other securities or property, the rights of the Holders of such Securities to convert or exchange, and the obligations of the Company to convert or exchange, such Securities into other securities or property, and, if money shall have been deposited with the Trustee pursuant to clause (a) of this Section, the obligations of the Trustee under Section 12.07 and Section 6.03(e) shall survive such satisfaction and discharge.</w:t>
      </w:r>
    </w:p>
    <w:p>
      <w:pPr>
        <w:spacing w:after="0" w:line="14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 xml:space="preserve">Section 12.03 </w:t>
      </w:r>
      <w:r>
        <w:rPr>
          <w:rFonts w:ascii="Times New Roman" w:cs="Times New Roman" w:eastAsia="Times New Roman" w:hAnsi="Times New Roman"/>
          <w:sz w:val="14"/>
          <w:szCs w:val="14"/>
          <w:u w:val="single" w:color="auto"/>
          <w:color w:val="auto"/>
        </w:rPr>
        <w:t>Defeasance and Covenant Defeasance upon Deposit of Moneys or U.S. Government Obligations</w:t>
      </w:r>
      <w:r>
        <w:rPr>
          <w:rFonts w:ascii="Times New Roman" w:cs="Times New Roman" w:eastAsia="Times New Roman" w:hAnsi="Times New Roman"/>
          <w:sz w:val="14"/>
          <w:szCs w:val="14"/>
          <w:color w:val="auto"/>
        </w:rPr>
        <w:t>. At the Company’s option, either</w:t>
      </w:r>
    </w:p>
    <w:p>
      <w:pPr>
        <w:spacing w:after="0" w:line="23" w:lineRule="exact"/>
        <w:rPr>
          <w:sz w:val="20"/>
          <w:szCs w:val="20"/>
          <w:color w:val="auto"/>
        </w:rPr>
      </w:pPr>
    </w:p>
    <w:p>
      <w:pPr>
        <w:ind w:left="160" w:right="279" w:firstLine="3"/>
        <w:spacing w:after="0" w:line="257" w:lineRule="auto"/>
        <w:tabs>
          <w:tab w:leader="none" w:pos="361" w:val="left"/>
        </w:tabs>
        <w:numPr>
          <w:ilvl w:val="0"/>
          <w:numId w:val="8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shall be deemed to have been Discharged (as defined below) from its obligations with respect to Securities of any series on the first day after the applicable conditions set forth below have been satisfied or (y) the Company shall cease to be under any obligation to comply with any term, provision or condition set forth in Section 6.04 and Section 10.02 with respect to Securities of any series (and, if so specified pursuant to Section 3.01, any other restrictive covenant added for the benefit of such series pursuant to Section 3.01) (“covenant defeasance”) upon the satisfaction of the applicable conditions set forth below:</w:t>
      </w:r>
    </w:p>
    <w:p>
      <w:pPr>
        <w:spacing w:after="0" w:line="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58</w:t>
      </w:r>
    </w:p>
    <w:p>
      <w:pPr>
        <w:sectPr>
          <w:pgSz w:w="11900" w:h="16838" w:orient="portrait"/>
          <w:cols w:equalWidth="0" w:num="1">
            <w:col w:w="9019"/>
          </w:cols>
          <w:pgMar w:left="1440" w:top="242" w:right="1440" w:bottom="1440" w:gutter="0" w:footer="0" w:header="0"/>
        </w:sectPr>
      </w:pPr>
    </w:p>
    <w:bookmarkStart w:id="92" w:name="page93"/>
    <w:bookmarkEnd w:id="92"/>
    <w:p>
      <w:pPr>
        <w:ind w:left="160" w:right="199" w:firstLine="784"/>
        <w:spacing w:after="0" w:line="258" w:lineRule="auto"/>
        <w:tabs>
          <w:tab w:leader="none" w:pos="1134" w:val="left"/>
        </w:tabs>
        <w:numPr>
          <w:ilvl w:val="0"/>
          <w:numId w:val="9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5">
                      <a:extLst>
                        <a:ext uri="{28A0092B-C50C-407E-A947-70E740481C1C}"/>
                      </a:extLst>
                    </a:blip>
                    <a:srcRect/>
                    <a:stretch>
                      <a:fillRect/>
                    </a:stretch>
                  </pic:blipFill>
                  <pic:spPr bwMode="auto">
                    <a:xfrm>
                      <a:off x="0" y="0"/>
                      <a:ext cx="7200265" cy="33020"/>
                    </a:xfrm>
                    <a:prstGeom prst="rect">
                      <a:avLst/>
                    </a:prstGeom>
                    <a:noFill/>
                  </pic:spPr>
                </pic:pic>
              </a:graphicData>
            </a:graphic>
          </wp:anchor>
        </w:drawing>
        <w:t>the Company shall have deposited or caused to be deposited irrevocably with the Trustee as trust funds in trust, specifically pledged as security for, and dedicated solely to, the benefit of the Holders of the Securities of such series (i) money in the Currency in which such Securities are payable in an amount, or (ii) U.S. Government Obligations (as defined below) that, through the payment of interest and principal in respect thereof in accordance with their terms, will provide, not later than one day before the due date of any payment, money in the Currency in which such Securities are payable in an amount, or (iii) a combination of (i) and (ii), sufficient (without consideration of any reinvestment of such principal and interest) to pay and discharge each installment of principal (including any mandatory sinking fund payments) of and premium, if any, and interest on, the Outstanding Securities of such series on the dates such installments of interest or principal and premium are due and, if the Securities of such series are to be called for redemption as described in clause (d) below, to pay and discharge the Redemption Price on the Securities called for redemption on the applicable Redemption Date;</w:t>
      </w:r>
    </w:p>
    <w:p>
      <w:pPr>
        <w:spacing w:after="0" w:line="144" w:lineRule="exact"/>
        <w:rPr>
          <w:rFonts w:ascii="Times New Roman" w:cs="Times New Roman" w:eastAsia="Times New Roman" w:hAnsi="Times New Roman"/>
          <w:sz w:val="14"/>
          <w:szCs w:val="14"/>
          <w:color w:val="auto"/>
        </w:rPr>
      </w:pPr>
    </w:p>
    <w:p>
      <w:pPr>
        <w:ind w:left="160" w:right="259" w:firstLine="784"/>
        <w:spacing w:after="0" w:line="265" w:lineRule="auto"/>
        <w:tabs>
          <w:tab w:leader="none" w:pos="1142" w:val="left"/>
        </w:tabs>
        <w:numPr>
          <w:ilvl w:val="0"/>
          <w:numId w:val="9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 Default with respect to the Securities of such series shall have occurred and be continuing on the date of such deposit (other than a Default resulting from the borrowing of funds and the grant of any related liens to be applied to such deposit) and, solely in the case of Discharge pursuant to clause (x) of the first paragraph of this Section 12.03, no Default with respect to the Securities of such series under either clause (e) or (f) of Section 7.01 shall have occurred at any time during the period ending on and including the date of such deposit;</w:t>
      </w:r>
    </w:p>
    <w:p>
      <w:pPr>
        <w:spacing w:after="0" w:line="140" w:lineRule="exact"/>
        <w:rPr>
          <w:rFonts w:ascii="Times New Roman" w:cs="Times New Roman" w:eastAsia="Times New Roman" w:hAnsi="Times New Roman"/>
          <w:sz w:val="14"/>
          <w:szCs w:val="14"/>
          <w:color w:val="auto"/>
        </w:rPr>
      </w:pPr>
    </w:p>
    <w:p>
      <w:pPr>
        <w:ind w:left="160" w:right="199" w:firstLine="784"/>
        <w:spacing w:after="0" w:line="261" w:lineRule="auto"/>
        <w:tabs>
          <w:tab w:leader="none" w:pos="1134" w:val="left"/>
        </w:tabs>
        <w:numPr>
          <w:ilvl w:val="0"/>
          <w:numId w:val="9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shall have delivered to the Trustee an Opinion of Counsel to the effect that Holders of the Securities of such series will not recognize income, gain or loss for U.S. federal income tax purposes as a result of the Company’s exercise of its option under this Section and will be subject to federal income tax on the same amounts and in the same manner and at the same times as would have been the case if such option had not been exercised and, in the case of the Securities of such series being Discharged pursuant to clause (x) of the first paragraph of this Section 12.03, such Opinion of Counsel shall be based upon and accompanied by a ruling to that effect received by the Company from or published by the Internal Revenue Service;</w:t>
      </w:r>
    </w:p>
    <w:p>
      <w:pPr>
        <w:spacing w:after="0" w:line="316" w:lineRule="exact"/>
        <w:rPr>
          <w:rFonts w:ascii="Times New Roman" w:cs="Times New Roman" w:eastAsia="Times New Roman" w:hAnsi="Times New Roman"/>
          <w:sz w:val="14"/>
          <w:szCs w:val="14"/>
          <w:color w:val="auto"/>
        </w:rPr>
      </w:pPr>
    </w:p>
    <w:p>
      <w:pPr>
        <w:ind w:left="160" w:right="259" w:firstLine="784"/>
        <w:spacing w:after="0" w:line="262" w:lineRule="auto"/>
        <w:tabs>
          <w:tab w:leader="none" w:pos="1142" w:val="left"/>
        </w:tabs>
        <w:numPr>
          <w:ilvl w:val="0"/>
          <w:numId w:val="9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the monies or U.S. Government Obligations or combination thereof, as the case may be, deposited under clause (a) above are sufficient to pay the principal of and premium, if any, and interest on the Securities of such series (including, without limitation, any mandatory sinking fund payment) or any portion thereof to be redeemed on a particular Redemption Date (including, without limitation, pursuant to a mandatory sinking fund), the Company shall have given to the Trustee irrevocable instructions to redeem such Securities on such date and shall have made arrangements satisfactory to the Trustee for the giving of notice of such redemption by the Trustee in the name, and at the expense, of the Company; and</w:t>
      </w:r>
    </w:p>
    <w:p>
      <w:pPr>
        <w:spacing w:after="0" w:line="142" w:lineRule="exact"/>
        <w:rPr>
          <w:rFonts w:ascii="Times New Roman" w:cs="Times New Roman" w:eastAsia="Times New Roman" w:hAnsi="Times New Roman"/>
          <w:sz w:val="14"/>
          <w:szCs w:val="14"/>
          <w:color w:val="auto"/>
        </w:rPr>
      </w:pPr>
    </w:p>
    <w:p>
      <w:pPr>
        <w:ind w:left="160" w:right="439" w:firstLine="784"/>
        <w:spacing w:after="0" w:line="288" w:lineRule="auto"/>
        <w:tabs>
          <w:tab w:leader="none" w:pos="1134" w:val="left"/>
        </w:tabs>
        <w:numPr>
          <w:ilvl w:val="0"/>
          <w:numId w:val="9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shall have delivered to the Trustee an Officer’s Certificate and an Opinion of Counsel, each stating that all conditions precedent to such action under this Indenture have been complied with.</w:t>
      </w:r>
    </w:p>
    <w:p>
      <w:pPr>
        <w:spacing w:after="0" w:line="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59</w:t>
      </w:r>
    </w:p>
    <w:p>
      <w:pPr>
        <w:sectPr>
          <w:pgSz w:w="11900" w:h="16838" w:orient="portrait"/>
          <w:cols w:equalWidth="0" w:num="1">
            <w:col w:w="9019"/>
          </w:cols>
          <w:pgMar w:left="1440" w:top="242" w:right="1440" w:bottom="1440" w:gutter="0" w:footer="0" w:header="0"/>
        </w:sectPr>
      </w:pPr>
    </w:p>
    <w:bookmarkStart w:id="93" w:name="page94"/>
    <w:bookmarkEnd w:id="93"/>
    <w:p>
      <w:pPr>
        <w:ind w:left="160" w:right="179" w:firstLine="347"/>
        <w:spacing w:after="0" w:line="257"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6">
                      <a:extLst>
                        <a:ext uri="{28A0092B-C50C-407E-A947-70E740481C1C}"/>
                      </a:extLst>
                    </a:blip>
                    <a:srcRect/>
                    <a:stretch>
                      <a:fillRect/>
                    </a:stretch>
                  </pic:blipFill>
                  <pic:spPr bwMode="auto">
                    <a:xfrm>
                      <a:off x="0" y="0"/>
                      <a:ext cx="7200265" cy="33020"/>
                    </a:xfrm>
                    <a:prstGeom prst="rect">
                      <a:avLst/>
                    </a:prstGeom>
                    <a:noFill/>
                  </pic:spPr>
                </pic:pic>
              </a:graphicData>
            </a:graphic>
          </wp:anchor>
        </w:drawing>
        <w:t>“Discharged” means, with respect to the Securities of any series, that the Company shall be deemed to have paid and discharged the entire indebtedness represented by, and obligations under, the Securities of such series and to have satisfied all the obligations under this Indenture relating to the Securities of such series (and the Trustee, at the expense of the Company, shall execute proper instruments acknowledging the same), except for the following, all of which shall survive such Discharge and remain in full force and effect with respect to the Securities of such series: (A) the rights of Holders of Securities of such series to receive, from the trust fund described in clause (a) above, payment of the principal of and premium, if any, and interest on such Securities when such payments are due, (B) Sections 3.04, 3.05, 3.06, 3.07, 3.10, 6.02 and 6.03, (C) if the Securities of such series are to be redeemed prior to their Stated Maturity, the provisions of Article IV hereof, (D) if the Securities of such series are convertible into or exchangeable for other securities or property, the rights of the Holders of such Securities to convert or exchange, and the obligations of the Company to convert or exchange, such Securities into such other securities or property, (E) the provisions of this Article XII and (F) the rights, powers, trusts, duties and immunities of the Trustee hereunder.</w:t>
      </w:r>
    </w:p>
    <w:p>
      <w:pPr>
        <w:spacing w:after="0" w:line="149" w:lineRule="exact"/>
        <w:rPr>
          <w:sz w:val="20"/>
          <w:szCs w:val="20"/>
          <w:color w:val="auto"/>
        </w:rPr>
      </w:pPr>
    </w:p>
    <w:p>
      <w:pPr>
        <w:ind w:left="160" w:right="259" w:firstLine="347"/>
        <w:spacing w:after="0" w:line="258" w:lineRule="auto"/>
        <w:rPr>
          <w:sz w:val="20"/>
          <w:szCs w:val="20"/>
          <w:color w:val="auto"/>
        </w:rPr>
      </w:pPr>
      <w:r>
        <w:rPr>
          <w:rFonts w:ascii="Times New Roman" w:cs="Times New Roman" w:eastAsia="Times New Roman" w:hAnsi="Times New Roman"/>
          <w:sz w:val="14"/>
          <w:szCs w:val="14"/>
          <w:color w:val="auto"/>
        </w:rPr>
        <w:t>“U.S. Government Obligations” means securities that are (i) direct obligations of the United States for the payment of which its full faith and credit is pledged or (ii) obligations of a Person controlled or supervised by and acting as an agency or instrumentality of the United States the timely of payment of which is unconditionally guaranteed as a full faith and credit obligation by the United States, that, in either case under clauses (i) or (ii) are not callable or redeemable at the option of the issuer thereof, and shall also include a depositary receipt issued by a bank or trust company as custodian with respect to any such U.S. Government Obligation or a specific payment of interest on or principal of any such U.S. Government Obligation held by such custodian for the account of the holder of a depositary receipt; provided that (except as required by law) such custodian is not authorized to make any deduction from the amount payable to the holder of such depositary receipt from any amount received by the custodian in respect of the U.S. Government Obligation or the specific payment of interest on or principal of the U.S. Government Obligation evidenced by such depositary receipt.</w:t>
      </w:r>
    </w:p>
    <w:p>
      <w:pPr>
        <w:spacing w:after="0" w:line="148" w:lineRule="exact"/>
        <w:rPr>
          <w:sz w:val="20"/>
          <w:szCs w:val="20"/>
          <w:color w:val="auto"/>
        </w:rPr>
      </w:pPr>
    </w:p>
    <w:p>
      <w:pPr>
        <w:ind w:left="160" w:right="199" w:firstLine="347"/>
        <w:spacing w:after="0" w:line="260" w:lineRule="auto"/>
        <w:rPr>
          <w:sz w:val="20"/>
          <w:szCs w:val="20"/>
          <w:color w:val="auto"/>
        </w:rPr>
      </w:pPr>
      <w:r>
        <w:rPr>
          <w:rFonts w:ascii="Times New Roman" w:cs="Times New Roman" w:eastAsia="Times New Roman" w:hAnsi="Times New Roman"/>
          <w:sz w:val="14"/>
          <w:szCs w:val="14"/>
          <w:color w:val="auto"/>
        </w:rPr>
        <w:t xml:space="preserve">Section 12.04 </w:t>
      </w:r>
      <w:r>
        <w:rPr>
          <w:rFonts w:ascii="Times New Roman" w:cs="Times New Roman" w:eastAsia="Times New Roman" w:hAnsi="Times New Roman"/>
          <w:sz w:val="14"/>
          <w:szCs w:val="14"/>
          <w:u w:val="single" w:color="auto"/>
          <w:color w:val="auto"/>
        </w:rPr>
        <w:t>Repayment to Company</w:t>
      </w:r>
      <w:r>
        <w:rPr>
          <w:rFonts w:ascii="Times New Roman" w:cs="Times New Roman" w:eastAsia="Times New Roman" w:hAnsi="Times New Roman"/>
          <w:sz w:val="14"/>
          <w:szCs w:val="14"/>
          <w:color w:val="auto"/>
        </w:rPr>
        <w:t>. The Trustee and any Paying Agent shall promptly pay to the Company (or to its designee) upon delivery of a Company Order any moneys or U.S. Government Obligations deposited pursuant to Sections 12.02 and 12.03 with respect to the Securities of any series and held by them that are in excess of the monies and/or U.S. Government Obligations that were required to effect the satisfaction and discharge, covenant defeasance or Discharge, as applicable, with respect to the Securities of such series, including any such moneys or obligations held by the Trustee under any escrow trust agreement entered into pursuant to Section 12.06. The provisions of Section 6.03(e) shall apply to any money held by the Trustee or any Paying Agent under this Article.</w:t>
      </w:r>
    </w:p>
    <w:p>
      <w:pPr>
        <w:spacing w:after="0" w:line="145" w:lineRule="exact"/>
        <w:rPr>
          <w:sz w:val="20"/>
          <w:szCs w:val="20"/>
          <w:color w:val="auto"/>
        </w:rPr>
      </w:pPr>
    </w:p>
    <w:p>
      <w:pPr>
        <w:ind w:left="160" w:right="319" w:firstLine="347"/>
        <w:spacing w:after="0" w:line="271" w:lineRule="auto"/>
        <w:rPr>
          <w:sz w:val="20"/>
          <w:szCs w:val="20"/>
          <w:color w:val="auto"/>
        </w:rPr>
      </w:pPr>
      <w:r>
        <w:rPr>
          <w:rFonts w:ascii="Times New Roman" w:cs="Times New Roman" w:eastAsia="Times New Roman" w:hAnsi="Times New Roman"/>
          <w:sz w:val="14"/>
          <w:szCs w:val="14"/>
          <w:color w:val="auto"/>
        </w:rPr>
        <w:t xml:space="preserve">Section 12.05 </w:t>
      </w:r>
      <w:r>
        <w:rPr>
          <w:rFonts w:ascii="Times New Roman" w:cs="Times New Roman" w:eastAsia="Times New Roman" w:hAnsi="Times New Roman"/>
          <w:sz w:val="14"/>
          <w:szCs w:val="14"/>
          <w:u w:val="single" w:color="auto"/>
          <w:color w:val="auto"/>
        </w:rPr>
        <w:t>Indemnity for U.S. Government Obligations</w:t>
      </w:r>
      <w:r>
        <w:rPr>
          <w:rFonts w:ascii="Times New Roman" w:cs="Times New Roman" w:eastAsia="Times New Roman" w:hAnsi="Times New Roman"/>
          <w:sz w:val="14"/>
          <w:szCs w:val="14"/>
          <w:color w:val="auto"/>
        </w:rPr>
        <w:t>. The Company shall pay and shall indemnify the Trustee against any tax, fee or other charge imposed on or assessed against the deposited U.S. Government Obligations or the principal or interest received on such U.S. Government Obligations.</w:t>
      </w:r>
    </w:p>
    <w:p>
      <w:pPr>
        <w:spacing w:after="0" w:line="13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 xml:space="preserve">Section 12.06 </w:t>
      </w:r>
      <w:r>
        <w:rPr>
          <w:rFonts w:ascii="Times New Roman" w:cs="Times New Roman" w:eastAsia="Times New Roman" w:hAnsi="Times New Roman"/>
          <w:sz w:val="14"/>
          <w:szCs w:val="14"/>
          <w:u w:val="single" w:color="auto"/>
          <w:color w:val="auto"/>
        </w:rPr>
        <w:t>[Reserved]</w:t>
      </w:r>
      <w:r>
        <w:rPr>
          <w:rFonts w:ascii="Times New Roman" w:cs="Times New Roman" w:eastAsia="Times New Roman" w:hAnsi="Times New Roman"/>
          <w:sz w:val="14"/>
          <w:szCs w:val="14"/>
          <w:color w:val="auto"/>
        </w:rPr>
        <w:t>.</w:t>
      </w:r>
    </w:p>
    <w:p>
      <w:pPr>
        <w:spacing w:after="0" w:line="1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60</w:t>
      </w:r>
    </w:p>
    <w:p>
      <w:pPr>
        <w:sectPr>
          <w:pgSz w:w="11900" w:h="16838" w:orient="portrait"/>
          <w:cols w:equalWidth="0" w:num="1">
            <w:col w:w="9019"/>
          </w:cols>
          <w:pgMar w:left="1440" w:top="242" w:right="1440" w:bottom="1440" w:gutter="0" w:footer="0" w:header="0"/>
        </w:sectPr>
      </w:pPr>
    </w:p>
    <w:bookmarkStart w:id="94" w:name="page95"/>
    <w:bookmarkEnd w:id="94"/>
    <w:p>
      <w:pPr>
        <w:ind w:left="520"/>
        <w:spacing w:after="0"/>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7">
                      <a:extLst>
                        <a:ext uri="{28A0092B-C50C-407E-A947-70E740481C1C}"/>
                      </a:extLst>
                    </a:blip>
                    <a:srcRect/>
                    <a:stretch>
                      <a:fillRect/>
                    </a:stretch>
                  </pic:blipFill>
                  <pic:spPr bwMode="auto">
                    <a:xfrm>
                      <a:off x="0" y="0"/>
                      <a:ext cx="7200265" cy="33020"/>
                    </a:xfrm>
                    <a:prstGeom prst="rect">
                      <a:avLst/>
                    </a:prstGeom>
                    <a:noFill/>
                  </pic:spPr>
                </pic:pic>
              </a:graphicData>
            </a:graphic>
          </wp:anchor>
        </w:drawing>
        <w:t xml:space="preserve">Section 12.07 </w:t>
      </w:r>
      <w:r>
        <w:rPr>
          <w:rFonts w:ascii="Times New Roman" w:cs="Times New Roman" w:eastAsia="Times New Roman" w:hAnsi="Times New Roman"/>
          <w:sz w:val="14"/>
          <w:szCs w:val="14"/>
          <w:u w:val="single" w:color="auto"/>
          <w:color w:val="auto"/>
        </w:rPr>
        <w:t>Application of Trust Money</w:t>
      </w:r>
      <w:r>
        <w:rPr>
          <w:rFonts w:ascii="Times New Roman" w:cs="Times New Roman" w:eastAsia="Times New Roman" w:hAnsi="Times New Roman"/>
          <w:sz w:val="14"/>
          <w:szCs w:val="14"/>
          <w:color w:val="auto"/>
        </w:rPr>
        <w:t>.</w:t>
      </w:r>
    </w:p>
    <w:p>
      <w:pPr>
        <w:spacing w:after="0" w:line="179" w:lineRule="exact"/>
        <w:rPr>
          <w:sz w:val="20"/>
          <w:szCs w:val="20"/>
          <w:color w:val="auto"/>
        </w:rPr>
      </w:pPr>
    </w:p>
    <w:p>
      <w:pPr>
        <w:ind w:left="160" w:right="239" w:firstLine="784"/>
        <w:spacing w:after="0" w:line="288" w:lineRule="auto"/>
        <w:tabs>
          <w:tab w:leader="none" w:pos="1134" w:val="left"/>
        </w:tabs>
        <w:numPr>
          <w:ilvl w:val="0"/>
          <w:numId w:val="9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Neither the Trustee nor any other Paying Agent shall be required to pay interest on any moneys deposited pursuant to the provisions of this Indenture, except such as it shall agree with the Company in writing to pay thereon.</w:t>
      </w:r>
    </w:p>
    <w:p>
      <w:pPr>
        <w:spacing w:after="0" w:line="124" w:lineRule="exact"/>
        <w:rPr>
          <w:rFonts w:ascii="Times New Roman" w:cs="Times New Roman" w:eastAsia="Times New Roman" w:hAnsi="Times New Roman"/>
          <w:sz w:val="14"/>
          <w:szCs w:val="14"/>
          <w:color w:val="auto"/>
        </w:rPr>
      </w:pPr>
    </w:p>
    <w:p>
      <w:pPr>
        <w:ind w:left="160" w:right="179" w:firstLine="784"/>
        <w:spacing w:after="0" w:line="258" w:lineRule="auto"/>
        <w:tabs>
          <w:tab w:leader="none" w:pos="1142" w:val="left"/>
        </w:tabs>
        <w:numPr>
          <w:ilvl w:val="0"/>
          <w:numId w:val="9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Subject to Section 6.03(e), any monies and U.S. Government Obligations which at any time shall be deposited by the Company or on its behalf with the Trustee or any other Paying Agent for the purpose of paying the principal of, premium, if any, and interest on any of the Securities shall be and are hereby assigned, transferred and set over to the Trustee or such other Paying Agent in trust for the respective Holders of the Securities for the purpose for which such moneys shall have been deposited, and such funds shall be applied by the Trustee or Paying Agent in accordance with the provisions of such Securities and this Indenture to the payment of all sums due and to become due on such Securities in respect of principal and premium, if any, and interest; but such moneys need not be segregated from other funds except to the extent required by law. Anything in this Indenture to the contrary notwithstanding, neither the Company nor any of its Subsidiaries nor any of their respective Affiliates may act as Paying Agent for any Securities in respect of which money or U.S. Government Obligations have been deposited pursuant to this Article XII.</w:t>
      </w:r>
    </w:p>
    <w:p>
      <w:pPr>
        <w:spacing w:after="0" w:line="148" w:lineRule="exact"/>
        <w:rPr>
          <w:sz w:val="20"/>
          <w:szCs w:val="20"/>
          <w:color w:val="auto"/>
        </w:rPr>
      </w:pPr>
    </w:p>
    <w:p>
      <w:pPr>
        <w:jc w:val="both"/>
        <w:ind w:left="160" w:right="259" w:firstLine="781"/>
        <w:spacing w:after="0" w:line="262" w:lineRule="auto"/>
        <w:rPr>
          <w:sz w:val="20"/>
          <w:szCs w:val="20"/>
          <w:color w:val="auto"/>
        </w:rPr>
      </w:pPr>
      <w:r>
        <w:rPr>
          <w:rFonts w:ascii="Times New Roman" w:cs="Times New Roman" w:eastAsia="Times New Roman" w:hAnsi="Times New Roman"/>
          <w:sz w:val="14"/>
          <w:szCs w:val="14"/>
          <w:color w:val="auto"/>
        </w:rPr>
        <w:t xml:space="preserve">Section 12.08 </w:t>
      </w:r>
      <w:r>
        <w:rPr>
          <w:rFonts w:ascii="Times New Roman" w:cs="Times New Roman" w:eastAsia="Times New Roman" w:hAnsi="Times New Roman"/>
          <w:sz w:val="14"/>
          <w:szCs w:val="14"/>
          <w:u w:val="single" w:color="auto"/>
          <w:color w:val="auto"/>
        </w:rPr>
        <w:t>Deposits of Non-U.S. Currencies</w:t>
      </w:r>
      <w:r>
        <w:rPr>
          <w:rFonts w:ascii="Times New Roman" w:cs="Times New Roman" w:eastAsia="Times New Roman" w:hAnsi="Times New Roman"/>
          <w:sz w:val="14"/>
          <w:szCs w:val="14"/>
          <w:color w:val="auto"/>
        </w:rPr>
        <w:t xml:space="preserve"> . Notwithstanding the foregoing provisions of this Article, if the Securities of any series are payable in a Currency other than U.S. Dollars, the Currency or the nature of the government obligations to be deposited with the Trustee under the foregoing provisions of this Article shall be as set forth in a Board Resolution, a Company Order or in one or more supplemental indentures hereto and may be deposited with an entity appointed by the Company and reasonably acceptable to the Trustee for purposes of holding the funds until payment to Holders.</w:t>
      </w: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ARTICLE XIII</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u w:val="single" w:color="auto"/>
          <w:color w:val="auto"/>
        </w:rPr>
        <w:t>IMMUNITY OF CERTAIN PERSONS</w:t>
      </w:r>
    </w:p>
    <w:p>
      <w:pPr>
        <w:spacing w:after="0" w:line="181" w:lineRule="exact"/>
        <w:rPr>
          <w:sz w:val="20"/>
          <w:szCs w:val="20"/>
          <w:color w:val="auto"/>
        </w:rPr>
      </w:pPr>
    </w:p>
    <w:p>
      <w:pPr>
        <w:ind w:left="160" w:right="199" w:firstLine="347"/>
        <w:spacing w:after="0" w:line="257" w:lineRule="auto"/>
        <w:rPr>
          <w:sz w:val="20"/>
          <w:szCs w:val="20"/>
          <w:color w:val="auto"/>
        </w:rPr>
      </w:pPr>
      <w:r>
        <w:rPr>
          <w:rFonts w:ascii="Times New Roman" w:cs="Times New Roman" w:eastAsia="Times New Roman" w:hAnsi="Times New Roman"/>
          <w:sz w:val="14"/>
          <w:szCs w:val="14"/>
          <w:color w:val="auto"/>
        </w:rPr>
        <w:t xml:space="preserve">Section 13.01 </w:t>
      </w:r>
      <w:r>
        <w:rPr>
          <w:rFonts w:ascii="Times New Roman" w:cs="Times New Roman" w:eastAsia="Times New Roman" w:hAnsi="Times New Roman"/>
          <w:sz w:val="14"/>
          <w:szCs w:val="14"/>
          <w:u w:val="single" w:color="auto"/>
          <w:color w:val="auto"/>
        </w:rPr>
        <w:t>No Personal Liability</w:t>
      </w:r>
      <w:r>
        <w:rPr>
          <w:rFonts w:ascii="Times New Roman" w:cs="Times New Roman" w:eastAsia="Times New Roman" w:hAnsi="Times New Roman"/>
          <w:sz w:val="14"/>
          <w:szCs w:val="14"/>
          <w:color w:val="auto"/>
        </w:rPr>
        <w:t>. No recourse shall be had for the payment of the principal of, or the premium, if any, or interest on, any Security or for any claim based thereon or otherwise in respect thereof or of the Indebtedness represented thereby, or upon any obligation, covenant or agreement of this Indenture, against any incorporator, stockholder, officer or director, as such, past, present or future, of the Company or of any successor corporation, either directly or through the Company or any successor corporation, whether by virtue of any constitutional provision, statute or rule of law, or by the enforcement of any assessment or penalty or otherwise; it being expressly agreed and understood that this Indenture and the Securities are solely corporate obligations, and that no personal liability whatsoever shall attach to, or be incurred by, any incorporator, stockholder, officer or director, as such, past, present or future, of the Company or of any successor corporation, either directly or through the Company or any successor corporation, because of the incurring of the Indebtedness hereby authorized or under or by reason of any of the obligations, covenants, promises or agreements contained in this Indenture or in any of the Securities, or to be implied herefrom or therefrom, and that all liability, if any, of that character against every such incorporator, stockholder, officer and director is, by the acceptance of the Securities and as a condition of, and as part of the consideration for, the execution of this Indenture and the issue of the Securities expressly waived and released.</w:t>
      </w:r>
    </w:p>
    <w:p>
      <w:pPr>
        <w:spacing w:after="0" w:line="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61</w:t>
      </w:r>
    </w:p>
    <w:p>
      <w:pPr>
        <w:sectPr>
          <w:pgSz w:w="11900" w:h="16838" w:orient="portrait"/>
          <w:cols w:equalWidth="0" w:num="1">
            <w:col w:w="9019"/>
          </w:cols>
          <w:pgMar w:left="1440" w:top="242" w:right="1440" w:bottom="1440" w:gutter="0" w:footer="0" w:header="0"/>
        </w:sectPr>
      </w:pPr>
    </w:p>
    <w:bookmarkStart w:id="95" w:name="page96"/>
    <w:bookmarkEnd w:id="95"/>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8">
                      <a:extLst>
                        <a:ext uri="{28A0092B-C50C-407E-A947-70E740481C1C}"/>
                      </a:extLst>
                    </a:blip>
                    <a:srcRect/>
                    <a:stretch>
                      <a:fillRect/>
                    </a:stretch>
                  </pic:blipFill>
                  <pic:spPr bwMode="auto">
                    <a:xfrm>
                      <a:off x="0" y="0"/>
                      <a:ext cx="7200265" cy="33020"/>
                    </a:xfrm>
                    <a:prstGeom prst="rect">
                      <a:avLst/>
                    </a:prstGeom>
                    <a:noFill/>
                  </pic:spPr>
                </pic:pic>
              </a:graphicData>
            </a:graphic>
          </wp:anchor>
        </w:drawing>
        <w:t>ARTICLE XIV</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u w:val="single" w:color="auto"/>
          <w:color w:val="auto"/>
        </w:rPr>
        <w:t>SUPPLEMENTAL INDENTURES</w:t>
      </w:r>
    </w:p>
    <w:p>
      <w:pPr>
        <w:spacing w:after="0" w:line="181" w:lineRule="exact"/>
        <w:rPr>
          <w:sz w:val="20"/>
          <w:szCs w:val="20"/>
          <w:color w:val="auto"/>
        </w:rPr>
      </w:pPr>
    </w:p>
    <w:p>
      <w:pPr>
        <w:ind w:left="160" w:right="419" w:firstLine="347"/>
        <w:spacing w:after="0" w:line="271" w:lineRule="auto"/>
        <w:rPr>
          <w:sz w:val="20"/>
          <w:szCs w:val="20"/>
          <w:color w:val="auto"/>
        </w:rPr>
      </w:pPr>
      <w:r>
        <w:rPr>
          <w:rFonts w:ascii="Times New Roman" w:cs="Times New Roman" w:eastAsia="Times New Roman" w:hAnsi="Times New Roman"/>
          <w:sz w:val="14"/>
          <w:szCs w:val="14"/>
          <w:color w:val="auto"/>
        </w:rPr>
        <w:t xml:space="preserve">Section 14.01 </w:t>
      </w:r>
      <w:r>
        <w:rPr>
          <w:rFonts w:ascii="Times New Roman" w:cs="Times New Roman" w:eastAsia="Times New Roman" w:hAnsi="Times New Roman"/>
          <w:sz w:val="14"/>
          <w:szCs w:val="14"/>
          <w:u w:val="single" w:color="auto"/>
          <w:color w:val="auto"/>
        </w:rPr>
        <w:t>Without Consent of Securityholders</w:t>
      </w:r>
      <w:r>
        <w:rPr>
          <w:rFonts w:ascii="Times New Roman" w:cs="Times New Roman" w:eastAsia="Times New Roman" w:hAnsi="Times New Roman"/>
          <w:sz w:val="14"/>
          <w:szCs w:val="14"/>
          <w:color w:val="auto"/>
        </w:rPr>
        <w:t>. Except as otherwise provided as contemplated by Section 3.01 with respect to any series of Securities, the Company and the Trustee, at any time and from time to time, may enter into one or more indentures supplemental hereto, in form satisfactory to the Trustee, for any one or more of or all the following purposes:</w:t>
      </w:r>
    </w:p>
    <w:p>
      <w:pPr>
        <w:spacing w:after="0" w:line="50" w:lineRule="exact"/>
        <w:rPr>
          <w:sz w:val="20"/>
          <w:szCs w:val="20"/>
          <w:color w:val="auto"/>
        </w:rPr>
      </w:pPr>
    </w:p>
    <w:p>
      <w:pPr>
        <w:ind w:left="160" w:right="319" w:firstLine="784"/>
        <w:spacing w:after="0" w:line="262" w:lineRule="auto"/>
        <w:tabs>
          <w:tab w:leader="none" w:pos="1134" w:val="left"/>
        </w:tabs>
        <w:numPr>
          <w:ilvl w:val="0"/>
          <w:numId w:val="9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add to the covenants and agreements of the Company, to be observed thereafter and during the period, if any, in such supplemental indenture or indentures expressed, and to add Events of Default, in each case for the protection or benefit of the Holders of all or any series of the Securities (and if such covenants, agreements and Events of Default are to be for the benefit of fewer than all series of Securities, stating that such covenants, agreements and Events of Default are expressly being included for the benefit of such series as shall be identified therein), or to surrender any right or power herein conferred upon the Company;</w:t>
      </w:r>
    </w:p>
    <w:p>
      <w:pPr>
        <w:spacing w:after="0" w:line="142" w:lineRule="exact"/>
        <w:rPr>
          <w:rFonts w:ascii="Times New Roman" w:cs="Times New Roman" w:eastAsia="Times New Roman" w:hAnsi="Times New Roman"/>
          <w:sz w:val="14"/>
          <w:szCs w:val="14"/>
          <w:color w:val="auto"/>
        </w:rPr>
      </w:pPr>
    </w:p>
    <w:p>
      <w:pPr>
        <w:ind w:left="160" w:right="259" w:firstLine="784"/>
        <w:spacing w:after="0" w:line="265" w:lineRule="auto"/>
        <w:tabs>
          <w:tab w:leader="none" w:pos="1142" w:val="left"/>
        </w:tabs>
        <w:numPr>
          <w:ilvl w:val="0"/>
          <w:numId w:val="9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delete or modify any Events of Default with respect to any series of the Securities, the form and terms of which are being first established pursuant to such supplemental indenture as permitted in Section 3.01 (and, if any such Event of Default is applicable to fewer than all such series of the Securities, specifying the series to which such Event of Default is applicable), and to specify the rights and remedies of the Trustee and the Holders of such Securities in connection therewith;</w:t>
      </w:r>
    </w:p>
    <w:p>
      <w:pPr>
        <w:spacing w:after="0" w:line="140" w:lineRule="exact"/>
        <w:rPr>
          <w:rFonts w:ascii="Times New Roman" w:cs="Times New Roman" w:eastAsia="Times New Roman" w:hAnsi="Times New Roman"/>
          <w:sz w:val="14"/>
          <w:szCs w:val="14"/>
          <w:color w:val="auto"/>
        </w:rPr>
      </w:pPr>
    </w:p>
    <w:p>
      <w:pPr>
        <w:ind w:left="160" w:right="199" w:firstLine="784"/>
        <w:spacing w:after="0" w:line="271" w:lineRule="auto"/>
        <w:tabs>
          <w:tab w:leader="none" w:pos="1134" w:val="left"/>
        </w:tabs>
        <w:numPr>
          <w:ilvl w:val="0"/>
          <w:numId w:val="9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add to or change any of the provisions of this Indenture to provide, change or eliminate any restrictions on the payment of principal of or premium, if any, on Securities; provided that any such action shall not adversely affect the interests of the Holders of Securities of any series in any material respect;</w:t>
      </w:r>
    </w:p>
    <w:p>
      <w:pPr>
        <w:spacing w:after="0" w:line="135" w:lineRule="exact"/>
        <w:rPr>
          <w:rFonts w:ascii="Times New Roman" w:cs="Times New Roman" w:eastAsia="Times New Roman" w:hAnsi="Times New Roman"/>
          <w:sz w:val="14"/>
          <w:szCs w:val="14"/>
          <w:color w:val="auto"/>
        </w:rPr>
      </w:pPr>
    </w:p>
    <w:p>
      <w:pPr>
        <w:ind w:left="160" w:right="179" w:firstLine="784"/>
        <w:spacing w:after="0" w:line="271" w:lineRule="auto"/>
        <w:tabs>
          <w:tab w:leader="none" w:pos="1142" w:val="left"/>
        </w:tabs>
        <w:numPr>
          <w:ilvl w:val="0"/>
          <w:numId w:val="9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change or eliminate any of the provisions of this Indenture; provided that any such change or elimination shall become effective only when there is no Outstanding Security of any series created prior to the execution of such supplemental indenture that is entitled to the benefit of such provision and as to which such supplemental indenture would apply;</w:t>
      </w:r>
    </w:p>
    <w:p>
      <w:pPr>
        <w:spacing w:after="0" w:line="135" w:lineRule="exact"/>
        <w:rPr>
          <w:rFonts w:ascii="Times New Roman" w:cs="Times New Roman" w:eastAsia="Times New Roman" w:hAnsi="Times New Roman"/>
          <w:sz w:val="14"/>
          <w:szCs w:val="14"/>
          <w:color w:val="auto"/>
        </w:rPr>
      </w:pPr>
    </w:p>
    <w:p>
      <w:pPr>
        <w:ind w:left="160" w:right="379" w:firstLine="784"/>
        <w:spacing w:after="0" w:line="288" w:lineRule="auto"/>
        <w:tabs>
          <w:tab w:leader="none" w:pos="1134" w:val="left"/>
        </w:tabs>
        <w:numPr>
          <w:ilvl w:val="0"/>
          <w:numId w:val="9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evidence the succession of another entity to the Company, or successive successions, and the assumption by such successor of the covenants and obligations of the Company contained in the Securities of one or more series and in this Indenture or any supplemental indenture;</w:t>
      </w:r>
    </w:p>
    <w:p>
      <w:pPr>
        <w:spacing w:after="0" w:line="124" w:lineRule="exact"/>
        <w:rPr>
          <w:rFonts w:ascii="Times New Roman" w:cs="Times New Roman" w:eastAsia="Times New Roman" w:hAnsi="Times New Roman"/>
          <w:sz w:val="14"/>
          <w:szCs w:val="14"/>
          <w:color w:val="auto"/>
        </w:rPr>
      </w:pPr>
    </w:p>
    <w:p>
      <w:pPr>
        <w:ind w:left="160" w:right="259" w:firstLine="784"/>
        <w:spacing w:after="0" w:line="271" w:lineRule="auto"/>
        <w:tabs>
          <w:tab w:leader="none" w:pos="1118" w:val="left"/>
        </w:tabs>
        <w:numPr>
          <w:ilvl w:val="0"/>
          <w:numId w:val="9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evidence and provide for the acceptance of appointment hereunder by a successor Trustee with respect to one or more series of Securities and to add to or change any of the provisions of this Indenture as shall be necessary for or facilitate the administration of the trusts hereunder by more than one Trustee, pursuant to the requirements of Section 11.06(c);</w:t>
      </w:r>
    </w:p>
    <w:p>
      <w:pPr>
        <w:spacing w:after="0" w:line="135" w:lineRule="exact"/>
        <w:rPr>
          <w:rFonts w:ascii="Times New Roman" w:cs="Times New Roman" w:eastAsia="Times New Roman" w:hAnsi="Times New Roman"/>
          <w:sz w:val="14"/>
          <w:szCs w:val="14"/>
          <w:color w:val="auto"/>
        </w:rPr>
      </w:pPr>
    </w:p>
    <w:p>
      <w:pPr>
        <w:ind w:left="1140" w:hanging="196"/>
        <w:spacing w:after="0"/>
        <w:tabs>
          <w:tab w:leader="none" w:pos="1140" w:val="left"/>
        </w:tabs>
        <w:numPr>
          <w:ilvl w:val="0"/>
          <w:numId w:val="9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secure any series of Securities;</w:t>
      </w:r>
    </w:p>
    <w:p>
      <w:pPr>
        <w:spacing w:after="0" w:line="1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62</w:t>
      </w:r>
    </w:p>
    <w:p>
      <w:pPr>
        <w:sectPr>
          <w:pgSz w:w="11900" w:h="16838" w:orient="portrait"/>
          <w:cols w:equalWidth="0" w:num="1">
            <w:col w:w="9019"/>
          </w:cols>
          <w:pgMar w:left="1440" w:top="240" w:right="1440" w:bottom="1440" w:gutter="0" w:footer="0" w:header="0"/>
        </w:sectPr>
      </w:pPr>
    </w:p>
    <w:bookmarkStart w:id="96" w:name="page97"/>
    <w:bookmarkEnd w:id="96"/>
    <w:p>
      <w:pPr>
        <w:ind w:left="1140" w:hanging="196"/>
        <w:spacing w:after="0"/>
        <w:tabs>
          <w:tab w:leader="none" w:pos="1140" w:val="left"/>
        </w:tabs>
        <w:numPr>
          <w:ilvl w:val="0"/>
          <w:numId w:val="9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9">
                      <a:extLst>
                        <a:ext uri="{28A0092B-C50C-407E-A947-70E740481C1C}"/>
                      </a:extLst>
                    </a:blip>
                    <a:srcRect/>
                    <a:stretch>
                      <a:fillRect/>
                    </a:stretch>
                  </pic:blipFill>
                  <pic:spPr bwMode="auto">
                    <a:xfrm>
                      <a:off x="0" y="0"/>
                      <a:ext cx="7200265" cy="33020"/>
                    </a:xfrm>
                    <a:prstGeom prst="rect">
                      <a:avLst/>
                    </a:prstGeom>
                    <a:noFill/>
                  </pic:spPr>
                </pic:pic>
              </a:graphicData>
            </a:graphic>
          </wp:anchor>
        </w:drawing>
        <w:t>to evidence any changes to this Indenture pursuant to Sections 11.05, 11.06 or 11.07 hereof as permitted by the terms thereof;</w:t>
      </w:r>
    </w:p>
    <w:p>
      <w:pPr>
        <w:spacing w:after="0" w:line="179" w:lineRule="exact"/>
        <w:rPr>
          <w:rFonts w:ascii="Times New Roman" w:cs="Times New Roman" w:eastAsia="Times New Roman" w:hAnsi="Times New Roman"/>
          <w:sz w:val="14"/>
          <w:szCs w:val="14"/>
          <w:color w:val="auto"/>
        </w:rPr>
      </w:pPr>
    </w:p>
    <w:p>
      <w:pPr>
        <w:ind w:left="160" w:right="259" w:firstLine="784"/>
        <w:spacing w:after="0" w:line="265" w:lineRule="auto"/>
        <w:tabs>
          <w:tab w:leader="none" w:pos="1111" w:val="left"/>
        </w:tabs>
        <w:numPr>
          <w:ilvl w:val="0"/>
          <w:numId w:val="9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cure any ambiguity or inconsistency or to correct or supplement any provision contained herein or in any indenture supplemental hereto which may be defective or inconsistent with any other provision contained herein or in any supplemental indenture or to conform the terms hereof, as amended and supplemented, that are applicable to the Securities of any series to the description of the terms of such Securities in the offering memorandum, prospectus supplement or other offering document applicable to such Securities at the time of initial sale thereof;</w:t>
      </w:r>
    </w:p>
    <w:p>
      <w:pPr>
        <w:spacing w:after="0" w:line="140" w:lineRule="exact"/>
        <w:rPr>
          <w:rFonts w:ascii="Times New Roman" w:cs="Times New Roman" w:eastAsia="Times New Roman" w:hAnsi="Times New Roman"/>
          <w:sz w:val="14"/>
          <w:szCs w:val="14"/>
          <w:color w:val="auto"/>
        </w:rPr>
      </w:pPr>
    </w:p>
    <w:p>
      <w:pPr>
        <w:ind w:left="160" w:right="299" w:firstLine="784"/>
        <w:spacing w:after="0" w:line="288" w:lineRule="auto"/>
        <w:tabs>
          <w:tab w:leader="none" w:pos="1111" w:val="left"/>
        </w:tabs>
        <w:numPr>
          <w:ilvl w:val="0"/>
          <w:numId w:val="9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add to or change or eliminate any provision of this Indenture as shall be necessary or desirable in accordance with any amendments to the Trust Indenture Act;</w:t>
      </w:r>
    </w:p>
    <w:p>
      <w:pPr>
        <w:spacing w:after="0" w:line="124" w:lineRule="exact"/>
        <w:rPr>
          <w:rFonts w:ascii="Times New Roman" w:cs="Times New Roman" w:eastAsia="Times New Roman" w:hAnsi="Times New Roman"/>
          <w:sz w:val="14"/>
          <w:szCs w:val="14"/>
          <w:color w:val="auto"/>
        </w:rPr>
      </w:pPr>
    </w:p>
    <w:p>
      <w:pPr>
        <w:ind w:left="160" w:right="339" w:firstLine="784"/>
        <w:spacing w:after="0" w:line="288" w:lineRule="auto"/>
        <w:tabs>
          <w:tab w:leader="none" w:pos="1142" w:val="left"/>
        </w:tabs>
        <w:numPr>
          <w:ilvl w:val="0"/>
          <w:numId w:val="9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add guarantors or co-obligors with respect to any series of Securities or to release guarantors from their guarantees of Securities in accordance with the terms of the applicable series of Securities;</w:t>
      </w:r>
    </w:p>
    <w:p>
      <w:pPr>
        <w:spacing w:after="0" w:line="124" w:lineRule="exact"/>
        <w:rPr>
          <w:rFonts w:ascii="Times New Roman" w:cs="Times New Roman" w:eastAsia="Times New Roman" w:hAnsi="Times New Roman"/>
          <w:sz w:val="14"/>
          <w:szCs w:val="14"/>
          <w:color w:val="auto"/>
        </w:rPr>
      </w:pPr>
    </w:p>
    <w:p>
      <w:pPr>
        <w:ind w:left="1120" w:hanging="176"/>
        <w:spacing w:after="0"/>
        <w:tabs>
          <w:tab w:leader="none" w:pos="1120" w:val="left"/>
        </w:tabs>
        <w:numPr>
          <w:ilvl w:val="0"/>
          <w:numId w:val="9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make any change in any series of Securities that does not adversely affect in any material respect the rights of the Holders of such</w:t>
      </w:r>
    </w:p>
    <w:p>
      <w:pPr>
        <w:spacing w:after="0" w:line="23" w:lineRule="exact"/>
        <w:rPr>
          <w:rFonts w:ascii="Times New Roman" w:cs="Times New Roman" w:eastAsia="Times New Roman" w:hAnsi="Times New Roman"/>
          <w:sz w:val="14"/>
          <w:szCs w:val="14"/>
          <w:color w:val="auto"/>
        </w:rPr>
      </w:pPr>
    </w:p>
    <w:p>
      <w:pPr>
        <w:ind w:left="16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Securities;</w:t>
      </w:r>
    </w:p>
    <w:p>
      <w:pPr>
        <w:spacing w:after="0" w:line="165" w:lineRule="exact"/>
        <w:rPr>
          <w:rFonts w:ascii="Times New Roman" w:cs="Times New Roman" w:eastAsia="Times New Roman" w:hAnsi="Times New Roman"/>
          <w:sz w:val="14"/>
          <w:szCs w:val="14"/>
          <w:color w:val="auto"/>
        </w:rPr>
      </w:pPr>
    </w:p>
    <w:p>
      <w:pPr>
        <w:ind w:left="1180" w:hanging="236"/>
        <w:spacing w:after="0"/>
        <w:tabs>
          <w:tab w:leader="none" w:pos="1180" w:val="left"/>
        </w:tabs>
        <w:numPr>
          <w:ilvl w:val="0"/>
          <w:numId w:val="9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provide for uncertificated securities in addition to certificated securities;</w:t>
      </w:r>
    </w:p>
    <w:p>
      <w:pPr>
        <w:spacing w:after="0" w:line="179" w:lineRule="exact"/>
        <w:rPr>
          <w:rFonts w:ascii="Times New Roman" w:cs="Times New Roman" w:eastAsia="Times New Roman" w:hAnsi="Times New Roman"/>
          <w:sz w:val="14"/>
          <w:szCs w:val="14"/>
          <w:color w:val="auto"/>
        </w:rPr>
      </w:pPr>
    </w:p>
    <w:p>
      <w:pPr>
        <w:ind w:left="160" w:right="339" w:firstLine="784"/>
        <w:spacing w:after="0" w:line="271" w:lineRule="auto"/>
        <w:tabs>
          <w:tab w:leader="none" w:pos="1142" w:val="left"/>
        </w:tabs>
        <w:numPr>
          <w:ilvl w:val="0"/>
          <w:numId w:val="9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supplement any of the provisions of this Indenture to such extent as shall be necessary to permit or facilitate the defeasance and discharge of any series of Securities; provided that any such action shall not adversely affect the interests of the Holders of Securities of such series or any other series of Securities in any material respect;</w:t>
      </w:r>
    </w:p>
    <w:p>
      <w:pPr>
        <w:spacing w:after="0" w:line="135" w:lineRule="exact"/>
        <w:rPr>
          <w:rFonts w:ascii="Times New Roman" w:cs="Times New Roman" w:eastAsia="Times New Roman" w:hAnsi="Times New Roman"/>
          <w:sz w:val="14"/>
          <w:szCs w:val="14"/>
          <w:color w:val="auto"/>
        </w:rPr>
      </w:pPr>
    </w:p>
    <w:p>
      <w:pPr>
        <w:ind w:left="1140" w:hanging="196"/>
        <w:spacing w:after="0"/>
        <w:tabs>
          <w:tab w:leader="none" w:pos="1140" w:val="left"/>
        </w:tabs>
        <w:numPr>
          <w:ilvl w:val="0"/>
          <w:numId w:val="9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prohibit the authentication and delivery of additional series of Securities; or</w:t>
      </w:r>
    </w:p>
    <w:p>
      <w:pPr>
        <w:spacing w:after="0" w:line="179" w:lineRule="exact"/>
        <w:rPr>
          <w:rFonts w:ascii="Times New Roman" w:cs="Times New Roman" w:eastAsia="Times New Roman" w:hAnsi="Times New Roman"/>
          <w:sz w:val="14"/>
          <w:szCs w:val="14"/>
          <w:color w:val="auto"/>
        </w:rPr>
      </w:pPr>
    </w:p>
    <w:p>
      <w:pPr>
        <w:ind w:left="160" w:right="339" w:firstLine="784"/>
        <w:spacing w:after="0" w:line="271" w:lineRule="auto"/>
        <w:tabs>
          <w:tab w:leader="none" w:pos="1142" w:val="left"/>
        </w:tabs>
        <w:numPr>
          <w:ilvl w:val="0"/>
          <w:numId w:val="9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establish the form and terms of Securities of any series as permitted in Section 3.01, or to authorize the issuance of additional Securities of a series previously authorized or to add to the conditions, limitations or restrictions on the authorized amount, terms or purposes of issue, authentication or delivery of the Securities of any series, as herein set forth, or other conditions, limitations or restrictions thereafter to be observed.</w:t>
      </w:r>
    </w:p>
    <w:p>
      <w:pPr>
        <w:spacing w:after="0" w:line="136" w:lineRule="exact"/>
        <w:rPr>
          <w:sz w:val="20"/>
          <w:szCs w:val="20"/>
          <w:color w:val="auto"/>
        </w:rPr>
      </w:pPr>
    </w:p>
    <w:p>
      <w:pPr>
        <w:ind w:left="160" w:right="199" w:firstLine="347"/>
        <w:spacing w:after="0" w:line="271" w:lineRule="auto"/>
        <w:rPr>
          <w:sz w:val="20"/>
          <w:szCs w:val="20"/>
          <w:color w:val="auto"/>
        </w:rPr>
      </w:pPr>
      <w:r>
        <w:rPr>
          <w:rFonts w:ascii="Times New Roman" w:cs="Times New Roman" w:eastAsia="Times New Roman" w:hAnsi="Times New Roman"/>
          <w:sz w:val="14"/>
          <w:szCs w:val="14"/>
          <w:color w:val="auto"/>
        </w:rPr>
        <w:t>Subject to the provisions of Section 14.03, the Trustee is authorized to join with the Company in the execution of any such supplemental indenture, to make the further agreements and stipulations which may be therein contained and to accept the conveyance, transfer, assignment, mortgage or pledge of any property or assets thereunder.</w:t>
      </w:r>
    </w:p>
    <w:p>
      <w:pPr>
        <w:spacing w:after="0" w:line="136" w:lineRule="exact"/>
        <w:rPr>
          <w:sz w:val="20"/>
          <w:szCs w:val="20"/>
          <w:color w:val="auto"/>
        </w:rPr>
      </w:pPr>
    </w:p>
    <w:p>
      <w:pPr>
        <w:ind w:left="160" w:right="499" w:firstLine="347"/>
        <w:spacing w:after="0" w:line="288" w:lineRule="auto"/>
        <w:rPr>
          <w:sz w:val="20"/>
          <w:szCs w:val="20"/>
          <w:color w:val="auto"/>
        </w:rPr>
      </w:pPr>
      <w:r>
        <w:rPr>
          <w:rFonts w:ascii="Times New Roman" w:cs="Times New Roman" w:eastAsia="Times New Roman" w:hAnsi="Times New Roman"/>
          <w:sz w:val="14"/>
          <w:szCs w:val="14"/>
          <w:color w:val="auto"/>
        </w:rPr>
        <w:t>Any supplemental indenture authorized by the provisions of this Section 14.01 may be executed by the Company and the Trustee without the consent of the Holders of any of the Securities at the time Outstanding.</w:t>
      </w:r>
    </w:p>
    <w:p>
      <w:pPr>
        <w:spacing w:after="0" w:line="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63</w:t>
      </w:r>
    </w:p>
    <w:p>
      <w:pPr>
        <w:sectPr>
          <w:pgSz w:w="11900" w:h="16838" w:orient="portrait"/>
          <w:cols w:equalWidth="0" w:num="1">
            <w:col w:w="9019"/>
          </w:cols>
          <w:pgMar w:left="1440" w:top="242" w:right="1440" w:bottom="1440" w:gutter="0" w:footer="0" w:header="0"/>
        </w:sectPr>
      </w:pPr>
    </w:p>
    <w:bookmarkStart w:id="97" w:name="page98"/>
    <w:bookmarkEnd w:id="97"/>
    <w:p>
      <w:pPr>
        <w:ind w:left="520"/>
        <w:spacing w:after="0"/>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30">
                      <a:extLst>
                        <a:ext uri="{28A0092B-C50C-407E-A947-70E740481C1C}"/>
                      </a:extLst>
                    </a:blip>
                    <a:srcRect/>
                    <a:stretch>
                      <a:fillRect/>
                    </a:stretch>
                  </pic:blipFill>
                  <pic:spPr bwMode="auto">
                    <a:xfrm>
                      <a:off x="0" y="0"/>
                      <a:ext cx="7200265" cy="33020"/>
                    </a:xfrm>
                    <a:prstGeom prst="rect">
                      <a:avLst/>
                    </a:prstGeom>
                    <a:noFill/>
                  </pic:spPr>
                </pic:pic>
              </a:graphicData>
            </a:graphic>
          </wp:anchor>
        </w:drawing>
        <w:t xml:space="preserve">Section 14.02 </w:t>
      </w:r>
      <w:r>
        <w:rPr>
          <w:rFonts w:ascii="Times New Roman" w:cs="Times New Roman" w:eastAsia="Times New Roman" w:hAnsi="Times New Roman"/>
          <w:sz w:val="14"/>
          <w:szCs w:val="14"/>
          <w:u w:val="single" w:color="auto"/>
          <w:color w:val="auto"/>
        </w:rPr>
        <w:t>With Consent of Securityholders; Limitations</w:t>
      </w:r>
      <w:r>
        <w:rPr>
          <w:rFonts w:ascii="Times New Roman" w:cs="Times New Roman" w:eastAsia="Times New Roman" w:hAnsi="Times New Roman"/>
          <w:sz w:val="14"/>
          <w:szCs w:val="14"/>
          <w:color w:val="auto"/>
        </w:rPr>
        <w:t>.</w:t>
      </w:r>
    </w:p>
    <w:p>
      <w:pPr>
        <w:spacing w:after="0" w:line="179" w:lineRule="exact"/>
        <w:rPr>
          <w:sz w:val="20"/>
          <w:szCs w:val="20"/>
          <w:color w:val="auto"/>
        </w:rPr>
      </w:pPr>
    </w:p>
    <w:p>
      <w:pPr>
        <w:ind w:left="160" w:right="179" w:firstLine="784"/>
        <w:spacing w:after="0" w:line="262" w:lineRule="auto"/>
        <w:tabs>
          <w:tab w:leader="none" w:pos="1134" w:val="left"/>
        </w:tabs>
        <w:numPr>
          <w:ilvl w:val="0"/>
          <w:numId w:val="9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With the consent of the Holders (evidenced as provided in Article VIII) of a majority in aggregate principal amount of the Outstanding Securities of each series affected by such supplemental indenture voting separately, the Company and the Trustee may, from time to time and at any time, enter into an indenture or indentures supplemental hereto for the purpose of adding any provisions to or changing in any manner or eliminating any provisions of this Indenture or of modifying in any manner the rights of the Holders of the Securities of such series to be affected; provided, however, that no such supplemental indenture shall, without the consent of the Holder of each Outstanding Security of each such series affected thereby,</w:t>
      </w:r>
    </w:p>
    <w:p>
      <w:pPr>
        <w:spacing w:after="0" w:line="57" w:lineRule="exact"/>
        <w:rPr>
          <w:rFonts w:ascii="Times New Roman" w:cs="Times New Roman" w:eastAsia="Times New Roman" w:hAnsi="Times New Roman"/>
          <w:sz w:val="14"/>
          <w:szCs w:val="14"/>
          <w:color w:val="auto"/>
        </w:rPr>
      </w:pPr>
    </w:p>
    <w:p>
      <w:pPr>
        <w:ind w:left="520" w:right="239" w:firstLine="740"/>
        <w:spacing w:after="0" w:line="259" w:lineRule="auto"/>
        <w:tabs>
          <w:tab w:leader="none" w:pos="1439" w:val="left"/>
        </w:tabs>
        <w:numPr>
          <w:ilvl w:val="1"/>
          <w:numId w:val="9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extend the Stated Maturity of the principal of, or any installment of interest on, any Security, or reduce the principal amount thereof or the interest thereon or any premium payable thereon, or extend the Stated Maturity of, or change the Currency in which the principal of and premium, if any, or interest on such Security is denominated or payable, or reduce the amount of the principal of an Original Issue Discount Security that would be due and payable upon acceleration of the Maturity thereof pursuant to Section 7.02, change the ranking of any Security or, in the case of any subordinated Security, the definition of Senior Indebtedness applicable thereto, or impair the right to institute suit for the enforcement of any payment on or after the Stated Maturity thereof (or, in the case of redemption, on or after the Redemption Date), or materially adversely affect the economic terms of any right to convert or exchange any Security as may be provided pursuant to Section 3.01; or</w:t>
      </w:r>
    </w:p>
    <w:p>
      <w:pPr>
        <w:spacing w:after="0" w:line="60" w:lineRule="exact"/>
        <w:rPr>
          <w:rFonts w:ascii="Times New Roman" w:cs="Times New Roman" w:eastAsia="Times New Roman" w:hAnsi="Times New Roman"/>
          <w:sz w:val="14"/>
          <w:szCs w:val="14"/>
          <w:color w:val="auto"/>
        </w:rPr>
      </w:pPr>
    </w:p>
    <w:p>
      <w:pPr>
        <w:ind w:left="520" w:right="179" w:firstLine="740"/>
        <w:spacing w:after="0" w:line="271" w:lineRule="auto"/>
        <w:tabs>
          <w:tab w:leader="none" w:pos="1479" w:val="left"/>
        </w:tabs>
        <w:numPr>
          <w:ilvl w:val="1"/>
          <w:numId w:val="9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reduce the percentage in principal amount of the Outstanding Securities of any series, the consent of whose Holders is required for any supplemental indenture, or the consent of whose Holders is required for any waiver of compliance with certain provisions of this Indenture or certain Defaults hereunder and their consequences provided for in this Indenture; or</w:t>
      </w:r>
    </w:p>
    <w:p>
      <w:pPr>
        <w:spacing w:after="0" w:line="50" w:lineRule="exact"/>
        <w:rPr>
          <w:rFonts w:ascii="Times New Roman" w:cs="Times New Roman" w:eastAsia="Times New Roman" w:hAnsi="Times New Roman"/>
          <w:sz w:val="14"/>
          <w:szCs w:val="14"/>
          <w:color w:val="auto"/>
        </w:rPr>
      </w:pPr>
    </w:p>
    <w:p>
      <w:pPr>
        <w:ind w:left="520" w:right="299" w:firstLine="740"/>
        <w:spacing w:after="0" w:line="262" w:lineRule="auto"/>
        <w:tabs>
          <w:tab w:leader="none" w:pos="1518" w:val="left"/>
        </w:tabs>
        <w:numPr>
          <w:ilvl w:val="1"/>
          <w:numId w:val="9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modify any of the provisions of this Section, Section 7.06 or Section 6.06, except to increase any such percentage or to provide that certain other provisions of this Indenture cannot be modified or waived without the consent of the Holder of each Outstanding Security affected thereby; provided, however, that this clause shall not be deemed to require the consent of any Holder with respect to changes in the references to “the Trustee” and concomitant changes in this Section and Section 6.06, or the deletion of this proviso, in accordance with the requirements of Sections 11.06 and 14.01(f); or</w:t>
      </w:r>
    </w:p>
    <w:p>
      <w:pPr>
        <w:spacing w:after="0" w:line="57" w:lineRule="exact"/>
        <w:rPr>
          <w:rFonts w:ascii="Times New Roman" w:cs="Times New Roman" w:eastAsia="Times New Roman" w:hAnsi="Times New Roman"/>
          <w:sz w:val="14"/>
          <w:szCs w:val="14"/>
          <w:color w:val="auto"/>
        </w:rPr>
      </w:pPr>
    </w:p>
    <w:p>
      <w:pPr>
        <w:ind w:left="1500" w:hanging="240"/>
        <w:spacing w:after="0"/>
        <w:tabs>
          <w:tab w:leader="none" w:pos="1500" w:val="left"/>
        </w:tabs>
        <w:numPr>
          <w:ilvl w:val="1"/>
          <w:numId w:val="9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[reserved]</w:t>
      </w:r>
    </w:p>
    <w:p>
      <w:pPr>
        <w:spacing w:after="0" w:line="94" w:lineRule="exact"/>
        <w:rPr>
          <w:rFonts w:ascii="Times New Roman" w:cs="Times New Roman" w:eastAsia="Times New Roman" w:hAnsi="Times New Roman"/>
          <w:sz w:val="14"/>
          <w:szCs w:val="14"/>
          <w:color w:val="auto"/>
        </w:rPr>
      </w:pPr>
    </w:p>
    <w:p>
      <w:pPr>
        <w:ind w:left="1460" w:hanging="200"/>
        <w:spacing w:after="0"/>
        <w:tabs>
          <w:tab w:leader="none" w:pos="1460" w:val="left"/>
        </w:tabs>
        <w:numPr>
          <w:ilvl w:val="1"/>
          <w:numId w:val="9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modify, without the written consent of the Trustee, the rights, duties or immunities of the Trustee.</w:t>
      </w:r>
    </w:p>
    <w:p>
      <w:pPr>
        <w:spacing w:after="0" w:line="179" w:lineRule="exact"/>
        <w:rPr>
          <w:rFonts w:ascii="Times New Roman" w:cs="Times New Roman" w:eastAsia="Times New Roman" w:hAnsi="Times New Roman"/>
          <w:sz w:val="14"/>
          <w:szCs w:val="14"/>
          <w:color w:val="auto"/>
        </w:rPr>
      </w:pPr>
    </w:p>
    <w:p>
      <w:pPr>
        <w:ind w:left="160" w:right="319" w:firstLine="784"/>
        <w:spacing w:after="0" w:line="271" w:lineRule="auto"/>
        <w:tabs>
          <w:tab w:leader="none" w:pos="1142" w:val="left"/>
        </w:tabs>
        <w:numPr>
          <w:ilvl w:val="0"/>
          <w:numId w:val="9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supplemental indenture that changes or eliminates any provision of this Indenture which has expressly been included solely for the benefit of one or more particular series of Securities or which modifies the rights of the Holders of Securities of such series with respect to such covenant or other provision, shall be deemed not to affect the rights under this Indenture of the Holders of Securities of any other series.</w:t>
      </w:r>
    </w:p>
    <w:p>
      <w:pPr>
        <w:spacing w:after="0" w:line="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64</w:t>
      </w:r>
    </w:p>
    <w:p>
      <w:pPr>
        <w:sectPr>
          <w:pgSz w:w="11900" w:h="16838" w:orient="portrait"/>
          <w:cols w:equalWidth="0" w:num="1">
            <w:col w:w="9019"/>
          </w:cols>
          <w:pgMar w:left="1440" w:top="242" w:right="1440" w:bottom="1440" w:gutter="0" w:footer="0" w:header="0"/>
        </w:sectPr>
      </w:pPr>
    </w:p>
    <w:bookmarkStart w:id="98" w:name="page99"/>
    <w:bookmarkEnd w:id="98"/>
    <w:p>
      <w:pPr>
        <w:ind w:left="160" w:right="259" w:firstLine="784"/>
        <w:spacing w:after="0" w:line="288" w:lineRule="auto"/>
        <w:tabs>
          <w:tab w:leader="none" w:pos="1134" w:val="left"/>
        </w:tabs>
        <w:numPr>
          <w:ilvl w:val="0"/>
          <w:numId w:val="9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1">
                      <a:extLst>
                        <a:ext uri="{28A0092B-C50C-407E-A947-70E740481C1C}"/>
                      </a:extLst>
                    </a:blip>
                    <a:srcRect/>
                    <a:stretch>
                      <a:fillRect/>
                    </a:stretch>
                  </pic:blipFill>
                  <pic:spPr bwMode="auto">
                    <a:xfrm>
                      <a:off x="0" y="0"/>
                      <a:ext cx="7200265" cy="33020"/>
                    </a:xfrm>
                    <a:prstGeom prst="rect">
                      <a:avLst/>
                    </a:prstGeom>
                    <a:noFill/>
                  </pic:spPr>
                </pic:pic>
              </a:graphicData>
            </a:graphic>
          </wp:anchor>
        </w:drawing>
        <w:t>It shall not be necessary for the consent of the Securityholders under this Section 14.02 to approve the particular form of any proposed supplemental indenture, but it shall be sufficient if such consent shall approve the substance thereof.</w:t>
      </w:r>
    </w:p>
    <w:p>
      <w:pPr>
        <w:spacing w:after="0" w:line="124" w:lineRule="exact"/>
        <w:rPr>
          <w:rFonts w:ascii="Times New Roman" w:cs="Times New Roman" w:eastAsia="Times New Roman" w:hAnsi="Times New Roman"/>
          <w:sz w:val="14"/>
          <w:szCs w:val="14"/>
          <w:color w:val="auto"/>
        </w:rPr>
      </w:pPr>
    </w:p>
    <w:p>
      <w:pPr>
        <w:ind w:left="160" w:right="199" w:firstLine="784"/>
        <w:spacing w:after="0" w:line="265" w:lineRule="auto"/>
        <w:tabs>
          <w:tab w:leader="none" w:pos="1142" w:val="left"/>
        </w:tabs>
        <w:numPr>
          <w:ilvl w:val="0"/>
          <w:numId w:val="9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may set a record date for purposes of determining the identity of the Holders of each series of Securities entitled to give a written consent or waive compliance by the Company as authorized or permitted by this Section. Such record date shall not be more than 30 days prior to the first solicitation of such consent or waiver or the date of the most recent list of Holders furnished to the Trustee prior to such solicitation pursuant to Section 312 of the Trust Indenture Act.</w:t>
      </w:r>
    </w:p>
    <w:p>
      <w:pPr>
        <w:spacing w:after="0" w:line="140" w:lineRule="exact"/>
        <w:rPr>
          <w:rFonts w:ascii="Times New Roman" w:cs="Times New Roman" w:eastAsia="Times New Roman" w:hAnsi="Times New Roman"/>
          <w:sz w:val="14"/>
          <w:szCs w:val="14"/>
          <w:color w:val="auto"/>
        </w:rPr>
      </w:pPr>
    </w:p>
    <w:p>
      <w:pPr>
        <w:ind w:left="1140" w:hanging="196"/>
        <w:spacing w:after="0"/>
        <w:tabs>
          <w:tab w:leader="none" w:pos="1140" w:val="left"/>
        </w:tabs>
        <w:numPr>
          <w:ilvl w:val="0"/>
          <w:numId w:val="9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Promptly after the execution by the Company and the Trustee of any supplemental indenture pursuant to the provisions of this</w:t>
      </w:r>
    </w:p>
    <w:p>
      <w:pPr>
        <w:spacing w:after="0" w:line="23" w:lineRule="exact"/>
        <w:rPr>
          <w:sz w:val="20"/>
          <w:szCs w:val="20"/>
          <w:color w:val="auto"/>
        </w:rPr>
      </w:pPr>
    </w:p>
    <w:p>
      <w:pPr>
        <w:ind w:left="160" w:right="239"/>
        <w:spacing w:after="0" w:line="260" w:lineRule="auto"/>
        <w:rPr>
          <w:sz w:val="20"/>
          <w:szCs w:val="20"/>
          <w:color w:val="auto"/>
        </w:rPr>
      </w:pPr>
      <w:r>
        <w:rPr>
          <w:rFonts w:ascii="Times New Roman" w:cs="Times New Roman" w:eastAsia="Times New Roman" w:hAnsi="Times New Roman"/>
          <w:sz w:val="14"/>
          <w:szCs w:val="14"/>
          <w:color w:val="auto"/>
        </w:rPr>
        <w:t>Section 14.02, the Company shall mail a notice, setting forth in general terms the substance of such supplemental indenture, to the Holders of Securities at their addresses as the same shall then appear in the Register of the Company. Any failure of the Company to mail such notice, or any defect therein, shall not, however, in any way impair or affect the validity of any such supplemental indenture.</w:t>
      </w:r>
    </w:p>
    <w:p>
      <w:pPr>
        <w:spacing w:after="0" w:line="144" w:lineRule="exact"/>
        <w:rPr>
          <w:sz w:val="20"/>
          <w:szCs w:val="20"/>
          <w:color w:val="auto"/>
        </w:rPr>
      </w:pPr>
    </w:p>
    <w:p>
      <w:pPr>
        <w:ind w:left="160" w:right="239" w:firstLine="347"/>
        <w:spacing w:after="0" w:line="259" w:lineRule="auto"/>
        <w:rPr>
          <w:sz w:val="20"/>
          <w:szCs w:val="20"/>
          <w:color w:val="auto"/>
        </w:rPr>
      </w:pPr>
      <w:r>
        <w:rPr>
          <w:rFonts w:ascii="Times New Roman" w:cs="Times New Roman" w:eastAsia="Times New Roman" w:hAnsi="Times New Roman"/>
          <w:sz w:val="14"/>
          <w:szCs w:val="14"/>
          <w:color w:val="auto"/>
        </w:rPr>
        <w:t xml:space="preserve">Section 14.03 </w:t>
      </w:r>
      <w:r>
        <w:rPr>
          <w:rFonts w:ascii="Times New Roman" w:cs="Times New Roman" w:eastAsia="Times New Roman" w:hAnsi="Times New Roman"/>
          <w:sz w:val="14"/>
          <w:szCs w:val="14"/>
          <w:u w:val="single" w:color="auto"/>
          <w:color w:val="auto"/>
        </w:rPr>
        <w:t>Trustee Protected</w:t>
      </w:r>
      <w:r>
        <w:rPr>
          <w:rFonts w:ascii="Times New Roman" w:cs="Times New Roman" w:eastAsia="Times New Roman" w:hAnsi="Times New Roman"/>
          <w:sz w:val="14"/>
          <w:szCs w:val="14"/>
          <w:color w:val="auto"/>
        </w:rPr>
        <w:t>. Upon the request of the Company, accompanied by the Officer’s Certificate and Opinion of Counsel required by Section 16.01 (provided, however, that such Officer’s Certificate or Opinion of Counsel need not be provided in connection with the execution of a supplemental indenture that establishes the terms of a series of Securities pursuant to Section 2.01 hereof) and evidence reasonably satisfactory to the Trustee of consent of the Holders if the supplemental indenture is to be executed pursuant to Section 14.02, the Trustee shall join with the Company in the execution of said supplemental indenture unless said supplemental indenture affects the Trustee’s own rights, duties or immunities under this Indenture or otherwise, in which case the Trustee may in its discretion, but shall not be obligated to, enter into said supplemental indenture. The Trustee shall be fully protected in relying upon such Officer’s Certificate and Opinion of Counsel.</w:t>
      </w:r>
    </w:p>
    <w:p>
      <w:pPr>
        <w:spacing w:after="0" w:line="146" w:lineRule="exact"/>
        <w:rPr>
          <w:sz w:val="20"/>
          <w:szCs w:val="20"/>
          <w:color w:val="auto"/>
        </w:rPr>
      </w:pPr>
    </w:p>
    <w:p>
      <w:pPr>
        <w:ind w:left="160" w:right="179" w:firstLine="347"/>
        <w:spacing w:after="0" w:line="260" w:lineRule="auto"/>
        <w:rPr>
          <w:sz w:val="20"/>
          <w:szCs w:val="20"/>
          <w:color w:val="auto"/>
        </w:rPr>
      </w:pPr>
      <w:r>
        <w:rPr>
          <w:rFonts w:ascii="Times New Roman" w:cs="Times New Roman" w:eastAsia="Times New Roman" w:hAnsi="Times New Roman"/>
          <w:sz w:val="14"/>
          <w:szCs w:val="14"/>
          <w:color w:val="auto"/>
        </w:rPr>
        <w:t xml:space="preserve">Section 14.04 </w:t>
      </w:r>
      <w:r>
        <w:rPr>
          <w:rFonts w:ascii="Times New Roman" w:cs="Times New Roman" w:eastAsia="Times New Roman" w:hAnsi="Times New Roman"/>
          <w:sz w:val="14"/>
          <w:szCs w:val="14"/>
          <w:u w:val="single" w:color="auto"/>
          <w:color w:val="auto"/>
        </w:rPr>
        <w:t>Effect of Execution of Supplemental Indenture</w:t>
      </w:r>
      <w:r>
        <w:rPr>
          <w:rFonts w:ascii="Times New Roman" w:cs="Times New Roman" w:eastAsia="Times New Roman" w:hAnsi="Times New Roman"/>
          <w:sz w:val="14"/>
          <w:szCs w:val="14"/>
          <w:color w:val="auto"/>
        </w:rPr>
        <w:t>. Upon the execution of any supplemental indenture pursuant to the provisions of this Article XIV, this Indenture shall be deemed to be modified and amended in accordance therewith and, except as herein otherwise expressly provided, the respective rights, limitations of rights, obligations, duties and immunities under this Indenture of the Trustee, the Company and the Holders of all of the Securities or of the Securities of any series affected, as the case may be, shall thereafter be determined, exercised and enforced hereunder subject in all respects to such modifications and amendments, and all the terms and conditions of any such supplemental indenture shall be and be deemed to be part of the terms and conditions of this Indenture for any and all purposes.</w:t>
      </w:r>
    </w:p>
    <w:p>
      <w:pPr>
        <w:spacing w:after="0" w:line="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65</w:t>
      </w:r>
    </w:p>
    <w:p>
      <w:pPr>
        <w:sectPr>
          <w:pgSz w:w="11900" w:h="16838" w:orient="portrait"/>
          <w:cols w:equalWidth="0" w:num="1">
            <w:col w:w="9019"/>
          </w:cols>
          <w:pgMar w:left="1440" w:top="242" w:right="1440" w:bottom="1440" w:gutter="0" w:footer="0" w:header="0"/>
        </w:sectPr>
      </w:pPr>
    </w:p>
    <w:bookmarkStart w:id="99" w:name="page100"/>
    <w:bookmarkEnd w:id="99"/>
    <w:p>
      <w:pPr>
        <w:ind w:left="160" w:right="279" w:firstLine="347"/>
        <w:spacing w:after="0" w:line="260"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2">
                      <a:extLst>
                        <a:ext uri="{28A0092B-C50C-407E-A947-70E740481C1C}"/>
                      </a:extLst>
                    </a:blip>
                    <a:srcRect/>
                    <a:stretch>
                      <a:fillRect/>
                    </a:stretch>
                  </pic:blipFill>
                  <pic:spPr bwMode="auto">
                    <a:xfrm>
                      <a:off x="0" y="0"/>
                      <a:ext cx="7200265" cy="33020"/>
                    </a:xfrm>
                    <a:prstGeom prst="rect">
                      <a:avLst/>
                    </a:prstGeom>
                    <a:noFill/>
                  </pic:spPr>
                </pic:pic>
              </a:graphicData>
            </a:graphic>
          </wp:anchor>
        </w:drawing>
        <w:t xml:space="preserve">Section 14.05 </w:t>
      </w:r>
      <w:r>
        <w:rPr>
          <w:rFonts w:ascii="Times New Roman" w:cs="Times New Roman" w:eastAsia="Times New Roman" w:hAnsi="Times New Roman"/>
          <w:sz w:val="14"/>
          <w:szCs w:val="14"/>
          <w:u w:val="single" w:color="auto"/>
          <w:color w:val="auto"/>
        </w:rPr>
        <w:t>Notation on or Exchange of Securities</w:t>
      </w:r>
      <w:r>
        <w:rPr>
          <w:rFonts w:ascii="Times New Roman" w:cs="Times New Roman" w:eastAsia="Times New Roman" w:hAnsi="Times New Roman"/>
          <w:sz w:val="14"/>
          <w:szCs w:val="14"/>
          <w:color w:val="auto"/>
        </w:rPr>
        <w:t>. Securities of any series authenticated and delivered after the execution of any supplemental indenture pursuant to the provisions of this Article may bear a notation in the form approved by the Trustee as to any matter provided for in such supplemental indenture. If the Company or the Trustee shall so determine, new Securities so modified as to conform, in the opinion of the Trustee and the Board of Directors of the Company, to any modification of this Indenture contained in any such supplemental indenture may be prepared and executed by the Company and authenticated and delivered by the Trustee in exchange for the Securities then Outstanding in equal aggregate principal amounts, and such exchange shall be made without cost to the Holders of the Securities.</w:t>
      </w:r>
    </w:p>
    <w:p>
      <w:pPr>
        <w:spacing w:after="0" w:line="145" w:lineRule="exact"/>
        <w:rPr>
          <w:sz w:val="20"/>
          <w:szCs w:val="20"/>
          <w:color w:val="auto"/>
        </w:rPr>
      </w:pPr>
    </w:p>
    <w:p>
      <w:pPr>
        <w:ind w:left="160" w:right="659" w:firstLine="347"/>
        <w:spacing w:after="0" w:line="288" w:lineRule="auto"/>
        <w:rPr>
          <w:sz w:val="20"/>
          <w:szCs w:val="20"/>
          <w:color w:val="auto"/>
        </w:rPr>
      </w:pPr>
      <w:r>
        <w:rPr>
          <w:rFonts w:ascii="Times New Roman" w:cs="Times New Roman" w:eastAsia="Times New Roman" w:hAnsi="Times New Roman"/>
          <w:sz w:val="14"/>
          <w:szCs w:val="14"/>
          <w:color w:val="auto"/>
        </w:rPr>
        <w:t xml:space="preserve">Section 14.06 </w:t>
      </w:r>
      <w:r>
        <w:rPr>
          <w:rFonts w:ascii="Times New Roman" w:cs="Times New Roman" w:eastAsia="Times New Roman" w:hAnsi="Times New Roman"/>
          <w:sz w:val="14"/>
          <w:szCs w:val="14"/>
          <w:u w:val="single" w:color="auto"/>
          <w:color w:val="auto"/>
        </w:rPr>
        <w:t>Conformity with TIA</w:t>
      </w:r>
      <w:r>
        <w:rPr>
          <w:rFonts w:ascii="Times New Roman" w:cs="Times New Roman" w:eastAsia="Times New Roman" w:hAnsi="Times New Roman"/>
          <w:sz w:val="14"/>
          <w:szCs w:val="14"/>
          <w:color w:val="auto"/>
        </w:rPr>
        <w:t>. Every supplemental indenture executed pursuant to the provisions of this Article shall conform to the requirements of the Trust Indenture Act as then in effect.</w:t>
      </w:r>
    </w:p>
    <w:p>
      <w:pPr>
        <w:spacing w:after="0" w:line="2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ARTICLE XV</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u w:val="single" w:color="auto"/>
          <w:color w:val="auto"/>
        </w:rPr>
        <w:t>SUBORDINATION OF SECURITIES</w:t>
      </w:r>
    </w:p>
    <w:p>
      <w:pPr>
        <w:spacing w:after="0" w:line="181" w:lineRule="exact"/>
        <w:rPr>
          <w:sz w:val="20"/>
          <w:szCs w:val="20"/>
          <w:color w:val="auto"/>
        </w:rPr>
      </w:pPr>
    </w:p>
    <w:p>
      <w:pPr>
        <w:ind w:left="160" w:right="199" w:firstLine="347"/>
        <w:spacing w:after="0" w:line="260" w:lineRule="auto"/>
        <w:rPr>
          <w:sz w:val="20"/>
          <w:szCs w:val="20"/>
          <w:color w:val="auto"/>
        </w:rPr>
      </w:pPr>
      <w:r>
        <w:rPr>
          <w:rFonts w:ascii="Times New Roman" w:cs="Times New Roman" w:eastAsia="Times New Roman" w:hAnsi="Times New Roman"/>
          <w:sz w:val="14"/>
          <w:szCs w:val="14"/>
          <w:color w:val="auto"/>
        </w:rPr>
        <w:t xml:space="preserve">Section 15.01 </w:t>
      </w:r>
      <w:r>
        <w:rPr>
          <w:rFonts w:ascii="Times New Roman" w:cs="Times New Roman" w:eastAsia="Times New Roman" w:hAnsi="Times New Roman"/>
          <w:sz w:val="14"/>
          <w:szCs w:val="14"/>
          <w:u w:val="single" w:color="auto"/>
          <w:color w:val="auto"/>
        </w:rPr>
        <w:t>Agreement to Subordinate</w:t>
      </w:r>
      <w:r>
        <w:rPr>
          <w:rFonts w:ascii="Times New Roman" w:cs="Times New Roman" w:eastAsia="Times New Roman" w:hAnsi="Times New Roman"/>
          <w:sz w:val="14"/>
          <w:szCs w:val="14"/>
          <w:color w:val="auto"/>
        </w:rPr>
        <w:t>. In the event a series of Securities is designated as subordinated pursuant to Section 3.01, and except as otherwise provided in a Company Order or in one or more indentures supplemental hereto, the Company, for itself, its successors and assigns, covenants and agrees, and each Holder of Securities of such series by his, her or its acceptance thereof, likewise covenants and agrees, that the payment of the principal of (and premium, if any) and interest, if any, on each and all of the Securities of such series is hereby expressly subordinated, to the extent and in the manner hereinafter set forth, in right of payment to the prior payment in full of all Senior Indebtedness. In the event a series of Securities is not designated as subordinated pursuant to Section 3.01(t), this Article XV shall have no effect upon the Securities.</w:t>
      </w:r>
    </w:p>
    <w:p>
      <w:pPr>
        <w:spacing w:after="0" w:line="14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 xml:space="preserve">Section 15.02 </w:t>
      </w:r>
      <w:r>
        <w:rPr>
          <w:rFonts w:ascii="Times New Roman" w:cs="Times New Roman" w:eastAsia="Times New Roman" w:hAnsi="Times New Roman"/>
          <w:sz w:val="14"/>
          <w:szCs w:val="14"/>
          <w:u w:val="single" w:color="auto"/>
          <w:color w:val="auto"/>
        </w:rPr>
        <w:t>Distribution on Dissolution, Liquidation,</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u w:val="single" w:color="auto"/>
          <w:color w:val="auto"/>
        </w:rPr>
        <w:t>Concurso Mercantil</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and Reorganization; Subrogation of Securities</w:t>
      </w:r>
      <w:r>
        <w:rPr>
          <w:rFonts w:ascii="Times New Roman" w:cs="Times New Roman" w:eastAsia="Times New Roman" w:hAnsi="Times New Roman"/>
          <w:sz w:val="14"/>
          <w:szCs w:val="14"/>
          <w:color w:val="auto"/>
        </w:rPr>
        <w:t>. Subject to</w:t>
      </w:r>
    </w:p>
    <w:p>
      <w:pPr>
        <w:spacing w:after="0" w:line="2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4"/>
          <w:szCs w:val="14"/>
          <w:color w:val="auto"/>
        </w:rPr>
        <w:t xml:space="preserve">Section 15.01, upon any distribution of assets of the Company upon any dissolution, winding up, liquidation, </w:t>
      </w:r>
      <w:r>
        <w:rPr>
          <w:rFonts w:ascii="Times New Roman" w:cs="Times New Roman" w:eastAsia="Times New Roman" w:hAnsi="Times New Roman"/>
          <w:sz w:val="14"/>
          <w:szCs w:val="14"/>
          <w:i w:val="1"/>
          <w:iCs w:val="1"/>
          <w:color w:val="auto"/>
        </w:rPr>
        <w:t>concurso mercantil</w:t>
      </w:r>
      <w:r>
        <w:rPr>
          <w:rFonts w:ascii="Times New Roman" w:cs="Times New Roman" w:eastAsia="Times New Roman" w:hAnsi="Times New Roman"/>
          <w:sz w:val="14"/>
          <w:szCs w:val="14"/>
          <w:color w:val="auto"/>
        </w:rPr>
        <w:t>, or reorganization of</w:t>
      </w:r>
    </w:p>
    <w:p>
      <w:pPr>
        <w:spacing w:after="0" w:line="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4"/>
          <w:szCs w:val="14"/>
          <w:color w:val="auto"/>
        </w:rPr>
        <w:t xml:space="preserve">the Company, whether in bankruptcy, insolvency, </w:t>
      </w:r>
      <w:r>
        <w:rPr>
          <w:rFonts w:ascii="Times New Roman" w:cs="Times New Roman" w:eastAsia="Times New Roman" w:hAnsi="Times New Roman"/>
          <w:sz w:val="14"/>
          <w:szCs w:val="14"/>
          <w:i w:val="1"/>
          <w:iCs w:val="1"/>
          <w:color w:val="auto"/>
        </w:rPr>
        <w:t>concurso mercantil</w:t>
      </w:r>
      <w:r>
        <w:rPr>
          <w:rFonts w:ascii="Times New Roman" w:cs="Times New Roman" w:eastAsia="Times New Roman" w:hAnsi="Times New Roman"/>
          <w:sz w:val="14"/>
          <w:szCs w:val="14"/>
          <w:color w:val="auto"/>
        </w:rPr>
        <w:t>, reorganization or receivership proceedings or upon an assignment for the benefit</w:t>
      </w:r>
    </w:p>
    <w:p>
      <w:pPr>
        <w:spacing w:after="0" w:line="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4"/>
          <w:szCs w:val="14"/>
          <w:color w:val="auto"/>
        </w:rPr>
        <w:t>of creditors or any other marshalling of the assets and liabilities of the Company or otherwise (subject to the power of a court of competent jurisdiction</w:t>
      </w:r>
    </w:p>
    <w:p>
      <w:pPr>
        <w:spacing w:after="0" w:line="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4"/>
          <w:szCs w:val="14"/>
          <w:color w:val="auto"/>
        </w:rPr>
        <w:t>to make other equitable provision reflecting the rights conferred in this Indenture upon the Senior Indebtedness and the holders thereof with respect to</w:t>
      </w:r>
    </w:p>
    <w:p>
      <w:pPr>
        <w:spacing w:after="0" w:line="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4"/>
          <w:szCs w:val="14"/>
          <w:color w:val="auto"/>
        </w:rPr>
        <w:t>the Securities and the holders thereof by a lawful plan of reorganization under applicable bankruptcy law):</w:t>
      </w:r>
    </w:p>
    <w:p>
      <w:pPr>
        <w:spacing w:after="0" w:line="80" w:lineRule="exact"/>
        <w:rPr>
          <w:sz w:val="20"/>
          <w:szCs w:val="20"/>
          <w:color w:val="auto"/>
        </w:rPr>
      </w:pPr>
    </w:p>
    <w:p>
      <w:pPr>
        <w:ind w:left="160" w:right="199" w:firstLine="784"/>
        <w:spacing w:after="0" w:line="271" w:lineRule="auto"/>
        <w:tabs>
          <w:tab w:leader="none" w:pos="1134" w:val="left"/>
        </w:tabs>
        <w:numPr>
          <w:ilvl w:val="0"/>
          <w:numId w:val="9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holders of all Senior Indebtedness shall be entitled to receive payment in full of the principal thereof (and premium, if any) and interest due thereon before the Holders of the Securities are entitled to receive any payment upon the principal (or premium, if any) or interest, if any, on Indebtedness evidenced by the Securities;</w:t>
      </w:r>
    </w:p>
    <w:p>
      <w:pPr>
        <w:spacing w:after="0" w:line="135" w:lineRule="exact"/>
        <w:rPr>
          <w:rFonts w:ascii="Times New Roman" w:cs="Times New Roman" w:eastAsia="Times New Roman" w:hAnsi="Times New Roman"/>
          <w:sz w:val="14"/>
          <w:szCs w:val="14"/>
          <w:color w:val="auto"/>
        </w:rPr>
      </w:pPr>
    </w:p>
    <w:p>
      <w:pPr>
        <w:ind w:left="160" w:right="259" w:firstLine="784"/>
        <w:spacing w:after="0" w:line="265" w:lineRule="auto"/>
        <w:tabs>
          <w:tab w:leader="none" w:pos="1142" w:val="left"/>
        </w:tabs>
        <w:numPr>
          <w:ilvl w:val="0"/>
          <w:numId w:val="9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payment or distribution of assets of the Company of any kind or character, whether in cash, property or securities, to which the Holders of the Securities or the Trustee would be entitled except for the provisions of this Article XV shall be paid by the liquidation trustee or agent or other Person making such payment or distribution, whether a trustee in bankruptcy, a receiver or liquidating trustee or otherwise, directly to the holders of Senior Indebtedness or their representative or representatives or to the trustee or trustees under</w:t>
      </w:r>
    </w:p>
    <w:p>
      <w:pPr>
        <w:spacing w:after="0" w:line="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66</w:t>
      </w:r>
    </w:p>
    <w:p>
      <w:pPr>
        <w:sectPr>
          <w:pgSz w:w="11900" w:h="16838" w:orient="portrait"/>
          <w:cols w:equalWidth="0" w:num="1">
            <w:col w:w="9019"/>
          </w:cols>
          <w:pgMar w:left="1440" w:top="242" w:right="1440" w:bottom="1440" w:gutter="0" w:footer="0" w:header="0"/>
        </w:sectPr>
      </w:pPr>
    </w:p>
    <w:bookmarkStart w:id="100" w:name="page101"/>
    <w:bookmarkEnd w:id="100"/>
    <w:p>
      <w:pPr>
        <w:ind w:left="160" w:right="299"/>
        <w:spacing w:after="0" w:line="265"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3">
                      <a:extLst>
                        <a:ext uri="{28A0092B-C50C-407E-A947-70E740481C1C}"/>
                      </a:extLst>
                    </a:blip>
                    <a:srcRect/>
                    <a:stretch>
                      <a:fillRect/>
                    </a:stretch>
                  </pic:blipFill>
                  <pic:spPr bwMode="auto">
                    <a:xfrm>
                      <a:off x="0" y="0"/>
                      <a:ext cx="7200265" cy="33020"/>
                    </a:xfrm>
                    <a:prstGeom prst="rect">
                      <a:avLst/>
                    </a:prstGeom>
                    <a:noFill/>
                  </pic:spPr>
                </pic:pic>
              </a:graphicData>
            </a:graphic>
          </wp:anchor>
        </w:drawing>
        <w:t>any indenture under which any instruments evidencing any of such Senior Indebtedness may have been issued, ratably according to the aggregate amounts remaining unpaid on account of the principal of (and premium, if any) and interest on the Senior Indebtedness held or represented by each, to the extent necessary to make payment in full of all Senior Indebtedness remaining unpaid, after giving effect to any concurrent payment or distribution to the holders of such Senior Indebtedness;</w:t>
      </w:r>
    </w:p>
    <w:p>
      <w:pPr>
        <w:spacing w:after="0" w:line="140" w:lineRule="exact"/>
        <w:rPr>
          <w:sz w:val="20"/>
          <w:szCs w:val="20"/>
          <w:color w:val="auto"/>
        </w:rPr>
      </w:pPr>
    </w:p>
    <w:p>
      <w:pPr>
        <w:ind w:left="160" w:right="239" w:firstLine="784"/>
        <w:spacing w:after="0" w:line="259" w:lineRule="auto"/>
        <w:tabs>
          <w:tab w:leader="none" w:pos="1134" w:val="left"/>
        </w:tabs>
        <w:numPr>
          <w:ilvl w:val="0"/>
          <w:numId w:val="9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the event that, notwithstanding the foregoing, any payment or distribution of assets of the Company of any kind or character, whether in cash, property or securities prohibited by the foregoing, shall be received by the Trustee or the Holders of the Securities before all Senior Indebtedness is paid in full, such payment or distribution shall be paid over, upon written notice to a Responsible Officer of the Trustee, to the holder of such Senior Indebtedness or his, her or its representative or representatives or to the trustee or trustees under any indenture under which any instrument evidencing any of such Senior Indebtedness may have been issued, ratably as aforesaid, as calculated by the Company, for application to payment of all Senior Indebtedness remaining unpaid until all such Senior Indebtedness shall have been paid in full, after giving effect to any concurrent payment or distribution to the holders of such Senior Indebtedness; and</w:t>
      </w:r>
    </w:p>
    <w:p>
      <w:pPr>
        <w:spacing w:after="0" w:line="145" w:lineRule="exact"/>
        <w:rPr>
          <w:rFonts w:ascii="Times New Roman" w:cs="Times New Roman" w:eastAsia="Times New Roman" w:hAnsi="Times New Roman"/>
          <w:sz w:val="14"/>
          <w:szCs w:val="14"/>
          <w:color w:val="auto"/>
        </w:rPr>
      </w:pPr>
    </w:p>
    <w:p>
      <w:pPr>
        <w:ind w:left="160" w:right="179" w:firstLine="784"/>
        <w:spacing w:after="0" w:line="255" w:lineRule="auto"/>
        <w:tabs>
          <w:tab w:leader="none" w:pos="1142" w:val="left"/>
        </w:tabs>
        <w:numPr>
          <w:ilvl w:val="0"/>
          <w:numId w:val="9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Subject to the payment in full of all Senior Indebtedness, the Holders of the Securities shall be subrogated to the rights of the holders of Senior Indebtedness (to the extent that distributions otherwise payable to such holder have been applied to the payment of Senior Indebtedness) to receive payments or distributions of cash, property or securities of the Company applicable to Senior Indebtedness until the principal of (and premium, if any) and interest, if any, on the Securities shall be paid in full and no such payments or distributions to the Holders of the Securities of cash, property or securities otherwise distributable to the holders of Senior Indebtedness shall, as between the Company, its creditors other than the holders of Senior Indebtedness, and the Holders of the Securities be deemed to be a payment by the Company to or on account of the Securities. It is understood that the provisions of this Article XV are and are intended solely for the purpose of defining the relative rights of the Holders of the Securities, on the one hand, and the holders of the Senior Indebtedness, on the other hand. Nothing contained in this Article XV or elsewhere in this Indenture or in the Securities is intended to or shall impair, as between the Company, its creditors other than the holders of Senior Indebtedness, and the Holders of the Securities, the obligation of the Company, which is unconditional and absolute, to pay to the Holders of the Securities the principal of (and premium, if any) and interest, if any, on the Securities as and when the same shall become due and payable in accordance with their terms, or to affect the relative rights of the Holders of the Securities and creditors of the Company other than the holders of Senior Indebtedness, nor shall anything herein or in the Securities prevent the Trustee or the Holder of any Security from exercising all remedies otherwise permitted by applicable law upon default under this Indenture, subject to the rights, if any, under this Article XV of the holders of Senior Indebtedness in respect of cash, property or securities of the Company received upon the exercise of any such remedy. Upon any payment or distribution of assets of the Company referred to in this Article XV, the Trustee, subject to the provisions of Section 15.06, shall be entitled to conclusively rely upon a certificate of the liquidating trustee or agent or other person making any distribution to the Trustee for the purpose of ascertaining the Persons entitled to participate in such distribution, the holders of Senior Indebtedness and other indebtedness of the Company, the amount thereof or payable thereon, the amount or amounts paid or distributed thereof and all other facts pertinent thereto or to this Article XV.</w:t>
      </w:r>
    </w:p>
    <w:p>
      <w:pPr>
        <w:spacing w:after="0" w:line="1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67</w:t>
      </w:r>
    </w:p>
    <w:p>
      <w:pPr>
        <w:sectPr>
          <w:pgSz w:w="11900" w:h="16838" w:orient="portrait"/>
          <w:cols w:equalWidth="0" w:num="1">
            <w:col w:w="9019"/>
          </w:cols>
          <w:pgMar w:left="1440" w:top="242" w:right="1440" w:bottom="1440" w:gutter="0" w:footer="0" w:header="0"/>
        </w:sectPr>
      </w:pPr>
    </w:p>
    <w:bookmarkStart w:id="101" w:name="page102"/>
    <w:bookmarkEnd w:id="101"/>
    <w:p>
      <w:pPr>
        <w:ind w:left="160" w:right="299" w:firstLine="347"/>
        <w:spacing w:after="0" w:line="260"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4">
                      <a:extLst>
                        <a:ext uri="{28A0092B-C50C-407E-A947-70E740481C1C}"/>
                      </a:extLst>
                    </a:blip>
                    <a:srcRect/>
                    <a:stretch>
                      <a:fillRect/>
                    </a:stretch>
                  </pic:blipFill>
                  <pic:spPr bwMode="auto">
                    <a:xfrm>
                      <a:off x="0" y="0"/>
                      <a:ext cx="7200265" cy="33020"/>
                    </a:xfrm>
                    <a:prstGeom prst="rect">
                      <a:avLst/>
                    </a:prstGeom>
                    <a:noFill/>
                  </pic:spPr>
                </pic:pic>
              </a:graphicData>
            </a:graphic>
          </wp:anchor>
        </w:drawing>
        <w:t xml:space="preserve">Section 15.03 </w:t>
      </w:r>
      <w:r>
        <w:rPr>
          <w:rFonts w:ascii="Times New Roman" w:cs="Times New Roman" w:eastAsia="Times New Roman" w:hAnsi="Times New Roman"/>
          <w:sz w:val="14"/>
          <w:szCs w:val="14"/>
          <w:u w:val="single" w:color="auto"/>
          <w:color w:val="auto"/>
        </w:rPr>
        <w:t>No Payment on Securities in Event of Default on Senior Indebtedness</w:t>
      </w:r>
      <w:r>
        <w:rPr>
          <w:rFonts w:ascii="Times New Roman" w:cs="Times New Roman" w:eastAsia="Times New Roman" w:hAnsi="Times New Roman"/>
          <w:sz w:val="14"/>
          <w:szCs w:val="14"/>
          <w:color w:val="auto"/>
        </w:rPr>
        <w:t>. Subject to Section 15.01, no payment by the Company on account of principal (or premium, if any), sinking funds or interest, if any, on the Securities shall be made at any time if: (i) a default on Senior Indebtedness exists that permits the holders of such Senior Indebtedness to accelerate its maturity and (ii) the default is the subject of judicial proceedings or the Company has received notice of such default. The Company may resume payments on the Securities when full payment of amounts then due for principal (premium, if any), sinking funds and interest on Senior Indebtedness has been made or duly provided for in money or money’s worth.</w:t>
      </w:r>
    </w:p>
    <w:p>
      <w:pPr>
        <w:spacing w:after="0" w:line="145" w:lineRule="exact"/>
        <w:rPr>
          <w:sz w:val="20"/>
          <w:szCs w:val="20"/>
          <w:color w:val="auto"/>
        </w:rPr>
      </w:pPr>
    </w:p>
    <w:p>
      <w:pPr>
        <w:ind w:left="160" w:right="219" w:firstLine="347"/>
        <w:spacing w:after="0" w:line="259" w:lineRule="auto"/>
        <w:rPr>
          <w:sz w:val="20"/>
          <w:szCs w:val="20"/>
          <w:color w:val="auto"/>
        </w:rPr>
      </w:pPr>
      <w:r>
        <w:rPr>
          <w:rFonts w:ascii="Times New Roman" w:cs="Times New Roman" w:eastAsia="Times New Roman" w:hAnsi="Times New Roman"/>
          <w:sz w:val="14"/>
          <w:szCs w:val="14"/>
          <w:color w:val="auto"/>
        </w:rPr>
        <w:t>In the event that, notwithstanding the foregoing, any payment shall be received by the Trustee when such payment is prohibited by the preceding paragraph of this Section 15.03, such payment shall be held in trust for the benefit of, and shall be paid over or delivered to, the holders of such Senior Indebtedness or their respective representatives, or to the trustee or trustees under any indenture pursuant to which any of such Senior Indebtedness may have been issued, as their respective interests may appear, as calculated by the Company, but only to the extent that the holders of such Senior Indebtedness (or their representative or representatives or a trustee) notify the Trustee in writing within 90 days of such payment of the amounts then due and owing on such Senior Indebtedness and only the amounts specified in such notice to the Trustee shall be paid to the holders of such Senior Indebtedness.</w:t>
      </w:r>
    </w:p>
    <w:p>
      <w:pPr>
        <w:spacing w:after="0" w:line="14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4"/>
          <w:szCs w:val="14"/>
          <w:color w:val="auto"/>
        </w:rPr>
        <w:t xml:space="preserve">Section 15.04 </w:t>
      </w:r>
      <w:r>
        <w:rPr>
          <w:rFonts w:ascii="Times New Roman" w:cs="Times New Roman" w:eastAsia="Times New Roman" w:hAnsi="Times New Roman"/>
          <w:sz w:val="14"/>
          <w:szCs w:val="14"/>
          <w:u w:val="single" w:color="auto"/>
          <w:color w:val="auto"/>
        </w:rPr>
        <w:t>Payments on Securities Permitted</w:t>
      </w:r>
      <w:r>
        <w:rPr>
          <w:rFonts w:ascii="Times New Roman" w:cs="Times New Roman" w:eastAsia="Times New Roman" w:hAnsi="Times New Roman"/>
          <w:sz w:val="14"/>
          <w:szCs w:val="14"/>
          <w:color w:val="auto"/>
        </w:rPr>
        <w:t>. Subject to Section 15.01, nothing contained in this Indenture or in any of the Securities shall</w:t>
      </w:r>
    </w:p>
    <w:p>
      <w:pPr>
        <w:spacing w:after="0" w:line="23" w:lineRule="exact"/>
        <w:rPr>
          <w:sz w:val="20"/>
          <w:szCs w:val="20"/>
          <w:color w:val="auto"/>
        </w:rPr>
      </w:pPr>
    </w:p>
    <w:p>
      <w:pPr>
        <w:ind w:left="160" w:right="259" w:firstLine="3"/>
        <w:spacing w:after="0" w:line="256" w:lineRule="auto"/>
        <w:tabs>
          <w:tab w:leader="none" w:pos="353" w:val="left"/>
        </w:tabs>
        <w:numPr>
          <w:ilvl w:val="0"/>
          <w:numId w:val="9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affect the obligation of the Company to make, or prevent the Company from making, at any time except as provided in Sections 15.02 and 15.03, payments of principal of (or premium, if any) or interest, if any, on the Securities or (b) prevent the application by the Trustee of any moneys or assets deposited with it hereunder to the payment of or on account of the principal of (or premium, if any) or interest, if any, on the Securities, unless a Responsible Officer of the Trustee shall have received at its Corporate Trust Office written notice of any fact prohibiting the making of such payment from the Company or from the holder of any Senior Indebtedness or from the trustee for any such holder, together with proof satisfactory to the Trustee of such holding of Senior Indebtedness or of the authority of such trustee more than two Business Days prior to the date fixed for such payment.</w:t>
      </w:r>
    </w:p>
    <w:p>
      <w:pPr>
        <w:spacing w:after="0" w:line="147" w:lineRule="exact"/>
        <w:rPr>
          <w:sz w:val="20"/>
          <w:szCs w:val="20"/>
          <w:color w:val="auto"/>
        </w:rPr>
      </w:pPr>
    </w:p>
    <w:p>
      <w:pPr>
        <w:jc w:val="both"/>
        <w:ind w:left="160" w:right="459" w:firstLine="347"/>
        <w:spacing w:after="0" w:line="271" w:lineRule="auto"/>
        <w:rPr>
          <w:sz w:val="20"/>
          <w:szCs w:val="20"/>
          <w:color w:val="auto"/>
        </w:rPr>
      </w:pPr>
      <w:r>
        <w:rPr>
          <w:rFonts w:ascii="Times New Roman" w:cs="Times New Roman" w:eastAsia="Times New Roman" w:hAnsi="Times New Roman"/>
          <w:sz w:val="14"/>
          <w:szCs w:val="14"/>
          <w:color w:val="auto"/>
        </w:rPr>
        <w:t xml:space="preserve">Section 15.05 </w:t>
      </w:r>
      <w:r>
        <w:rPr>
          <w:rFonts w:ascii="Times New Roman" w:cs="Times New Roman" w:eastAsia="Times New Roman" w:hAnsi="Times New Roman"/>
          <w:sz w:val="14"/>
          <w:szCs w:val="14"/>
          <w:u w:val="single" w:color="auto"/>
          <w:color w:val="auto"/>
        </w:rPr>
        <w:t>Authorization of Securityholders to Trustee to Effect Subordination</w:t>
      </w:r>
      <w:r>
        <w:rPr>
          <w:rFonts w:ascii="Times New Roman" w:cs="Times New Roman" w:eastAsia="Times New Roman" w:hAnsi="Times New Roman"/>
          <w:sz w:val="14"/>
          <w:szCs w:val="14"/>
          <w:color w:val="auto"/>
        </w:rPr>
        <w:t>. Subject to Section 15.01, each Holder of Securities by his acceptance thereof authorizes and directs the Trustee on his, her or its behalf to take such action as may be necessary or appropriate to effectuate the subordination as provided in this Article XV and appoints the Trustee his attorney-in-fact for any and all such purposes.</w:t>
      </w:r>
    </w:p>
    <w:p>
      <w:pPr>
        <w:spacing w:after="0" w:line="136" w:lineRule="exact"/>
        <w:rPr>
          <w:sz w:val="20"/>
          <w:szCs w:val="20"/>
          <w:color w:val="auto"/>
        </w:rPr>
      </w:pPr>
    </w:p>
    <w:p>
      <w:pPr>
        <w:ind w:left="160" w:right="279" w:firstLine="347"/>
        <w:spacing w:after="0" w:line="271" w:lineRule="auto"/>
        <w:rPr>
          <w:sz w:val="20"/>
          <w:szCs w:val="20"/>
          <w:color w:val="auto"/>
        </w:rPr>
      </w:pPr>
      <w:r>
        <w:rPr>
          <w:rFonts w:ascii="Times New Roman" w:cs="Times New Roman" w:eastAsia="Times New Roman" w:hAnsi="Times New Roman"/>
          <w:sz w:val="14"/>
          <w:szCs w:val="14"/>
          <w:color w:val="auto"/>
        </w:rPr>
        <w:t xml:space="preserve">Section 15.06 </w:t>
      </w:r>
      <w:r>
        <w:rPr>
          <w:rFonts w:ascii="Times New Roman" w:cs="Times New Roman" w:eastAsia="Times New Roman" w:hAnsi="Times New Roman"/>
          <w:sz w:val="14"/>
          <w:szCs w:val="14"/>
          <w:u w:val="single" w:color="auto"/>
          <w:color w:val="auto"/>
        </w:rPr>
        <w:t>Notices to Trustee</w:t>
      </w:r>
      <w:r>
        <w:rPr>
          <w:rFonts w:ascii="Times New Roman" w:cs="Times New Roman" w:eastAsia="Times New Roman" w:hAnsi="Times New Roman"/>
          <w:sz w:val="14"/>
          <w:szCs w:val="14"/>
          <w:color w:val="auto"/>
        </w:rPr>
        <w:t>. The Company shall give prompt written notice to a Responsible Officer of the Trustee of any fact known to the Company that would prohibit the making of any payment of monies or assets to or by the Trustee in respect of the Securities of any series pursuant to the provisions of this Article XV. Subject to Section 15.01, notwithstanding the provisions of this Article XV or any other provisions of this Indenture,</w:t>
      </w:r>
    </w:p>
    <w:p>
      <w:pPr>
        <w:spacing w:after="0" w:line="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68</w:t>
      </w:r>
    </w:p>
    <w:p>
      <w:pPr>
        <w:sectPr>
          <w:pgSz w:w="11900" w:h="16838" w:orient="portrait"/>
          <w:cols w:equalWidth="0" w:num="1">
            <w:col w:w="9019"/>
          </w:cols>
          <w:pgMar w:left="1440" w:top="242" w:right="1440" w:bottom="1440" w:gutter="0" w:footer="0" w:header="0"/>
        </w:sectPr>
      </w:pPr>
    </w:p>
    <w:bookmarkStart w:id="102" w:name="page103"/>
    <w:bookmarkEnd w:id="102"/>
    <w:p>
      <w:pPr>
        <w:ind w:left="160" w:right="199"/>
        <w:spacing w:after="0" w:line="255"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5">
                      <a:extLst>
                        <a:ext uri="{28A0092B-C50C-407E-A947-70E740481C1C}"/>
                      </a:extLst>
                    </a:blip>
                    <a:srcRect/>
                    <a:stretch>
                      <a:fillRect/>
                    </a:stretch>
                  </pic:blipFill>
                  <pic:spPr bwMode="auto">
                    <a:xfrm>
                      <a:off x="0" y="0"/>
                      <a:ext cx="7200265" cy="33020"/>
                    </a:xfrm>
                    <a:prstGeom prst="rect">
                      <a:avLst/>
                    </a:prstGeom>
                    <a:noFill/>
                  </pic:spPr>
                </pic:pic>
              </a:graphicData>
            </a:graphic>
          </wp:anchor>
        </w:drawing>
        <w:t>neither the Trustee nor any Paying Agent (other than the Company) shall be charged with knowledge of the existence of any Senior Indebtedness or of any fact which would prohibit the making of any payment of moneys or assets to or by the Trustee or such Paying Agent, unless and until a Responsible Officer of the Trustee or such Paying Agent shall have received (in the case of a Responsible Officer of the Trustee, at the Corporate Trust Office of the Trustee) written notice thereof from the Company or from the holder of any Senior Indebtedness or from the trustee for any such holder, together with proof satisfactory to the Trustee of such holding of Senior Indebtedness or of the authority of such trustee and, prior to the receipt of any such written notice, the Trustee shall be entitled in all respects conclusively to presume that no such facts exist; provided, however, that if at least two Business Days prior to the date upon which by the terms hereof any such moneys or assets may become payable for any purpose (including, without limitation, the payment of either the principal (or premium, if any) or interest, if any, on any Security) a Responsible Officer of the Trustee shall not have received with respect to such moneys or assets the notice provided for in this Section 15.06, then, anything herein contained to the contrary notwithstanding, the Trustee shall have full power and authority to receive such moneys or assets and to apply the same to the purpose for which they were received, and shall not be affected by any notice to the contrary which may be received by it within two Business Days prior to such date. The Trustee shall be entitled to rely on the delivery to it of a written notice by a Person representing himself to be a holder of Senior Indebtedness (or a trustee on behalf of such holder) to establish that such a notice has been given by a holder of Senior Indebtedness or a trustee on behalf of any such holder. In the event that the Trustee determines in good faith that further evidence is required with respect to the right of any Person as a holder of Senior Indebtedness to participate in any payment or distribution pursuant to this Article XV, the Trustee may request such Person to furnish evidence to the reasonable satisfaction of the Trustee as to the amount of Senior Indebtedness held by such Person, the extent to which such Person is entitled to participate in such payment or distribution and any other facts pertinent to the rights of such Person under this Article XV and, if such evidence is not furnished, the Trustee may defer any payment to such Person pending judicial determination as to the right of such Person to receive such payment.</w:t>
      </w:r>
    </w:p>
    <w:p>
      <w:pPr>
        <w:spacing w:after="0" w:line="156" w:lineRule="exact"/>
        <w:rPr>
          <w:sz w:val="20"/>
          <w:szCs w:val="20"/>
          <w:color w:val="auto"/>
        </w:rPr>
      </w:pPr>
    </w:p>
    <w:p>
      <w:pPr>
        <w:ind w:left="160" w:right="299" w:firstLine="347"/>
        <w:spacing w:after="0" w:line="265" w:lineRule="auto"/>
        <w:rPr>
          <w:sz w:val="20"/>
          <w:szCs w:val="20"/>
          <w:color w:val="auto"/>
        </w:rPr>
      </w:pPr>
      <w:r>
        <w:rPr>
          <w:rFonts w:ascii="Times New Roman" w:cs="Times New Roman" w:eastAsia="Times New Roman" w:hAnsi="Times New Roman"/>
          <w:sz w:val="14"/>
          <w:szCs w:val="14"/>
          <w:color w:val="auto"/>
        </w:rPr>
        <w:t xml:space="preserve">Section 15.07 </w:t>
      </w:r>
      <w:r>
        <w:rPr>
          <w:rFonts w:ascii="Times New Roman" w:cs="Times New Roman" w:eastAsia="Times New Roman" w:hAnsi="Times New Roman"/>
          <w:sz w:val="14"/>
          <w:szCs w:val="14"/>
          <w:u w:val="single" w:color="auto"/>
          <w:color w:val="auto"/>
        </w:rPr>
        <w:t>Trustee as Holder of Senior Indebtedness</w:t>
      </w:r>
      <w:r>
        <w:rPr>
          <w:rFonts w:ascii="Times New Roman" w:cs="Times New Roman" w:eastAsia="Times New Roman" w:hAnsi="Times New Roman"/>
          <w:sz w:val="14"/>
          <w:szCs w:val="14"/>
          <w:color w:val="auto"/>
        </w:rPr>
        <w:t>. Subject to Section 15.01, the Trustee in its individual capacity shall be entitled to all the rights set forth in this Article XV in respect of any Senior Indebtedness at any time held by it to the same extent as any other holder of Senior Indebtedness and nothing in this Indenture shall be construed to deprive the Trustee of any of its rights as such holder. Nothing in this Article XV shall apply to claims of, or payments to, the Trustee under or pursuant to Sections 7.05 or 11.01.</w:t>
      </w:r>
    </w:p>
    <w:p>
      <w:pPr>
        <w:spacing w:after="0" w:line="140" w:lineRule="exact"/>
        <w:rPr>
          <w:sz w:val="20"/>
          <w:szCs w:val="20"/>
          <w:color w:val="auto"/>
        </w:rPr>
      </w:pPr>
    </w:p>
    <w:p>
      <w:pPr>
        <w:ind w:left="160" w:right="179" w:firstLine="347"/>
        <w:spacing w:after="0" w:line="258" w:lineRule="auto"/>
        <w:rPr>
          <w:sz w:val="20"/>
          <w:szCs w:val="20"/>
          <w:color w:val="auto"/>
        </w:rPr>
      </w:pPr>
      <w:r>
        <w:rPr>
          <w:rFonts w:ascii="Times New Roman" w:cs="Times New Roman" w:eastAsia="Times New Roman" w:hAnsi="Times New Roman"/>
          <w:sz w:val="14"/>
          <w:szCs w:val="14"/>
          <w:color w:val="auto"/>
        </w:rPr>
        <w:t xml:space="preserve">Section 15.08 </w:t>
      </w:r>
      <w:r>
        <w:rPr>
          <w:rFonts w:ascii="Times New Roman" w:cs="Times New Roman" w:eastAsia="Times New Roman" w:hAnsi="Times New Roman"/>
          <w:sz w:val="14"/>
          <w:szCs w:val="14"/>
          <w:u w:val="single" w:color="auto"/>
          <w:color w:val="auto"/>
        </w:rPr>
        <w:t>Modifications of Terms of Senior Indebtedness</w:t>
      </w:r>
      <w:r>
        <w:rPr>
          <w:rFonts w:ascii="Times New Roman" w:cs="Times New Roman" w:eastAsia="Times New Roman" w:hAnsi="Times New Roman"/>
          <w:sz w:val="14"/>
          <w:szCs w:val="14"/>
          <w:color w:val="auto"/>
        </w:rPr>
        <w:t>. Subject to Section 15.01, any renewal or extension of the time of payment of any Senior Indebtedness or the exercise by the holders of Senior Indebtedness of any of their rights under any instrument creating or evidencing Senior Indebtedness, including, without limitation, the waiver of default thereunder, may be made or done all without notice to or assent from the Holders of the Securities or the Trustee. To the extent permitted by applicable law, no compromise, alteration, amendment, modification, extension, renewal or other change of, or waiver, consent or other action in respect of, any liability or obligation under or in respect of, or of any of the terms, covenants or conditions of any indenture or other instrument under which any Senior Indebtedness is outstanding or of such Senior Indebtedness, whether or not such release is in accordance with the provisions of any applicable document, shall in any way alter or affect any of the provisions of this Article XV or of the Securities relating to the subordination thereof.</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69</w:t>
      </w:r>
    </w:p>
    <w:p>
      <w:pPr>
        <w:sectPr>
          <w:pgSz w:w="11900" w:h="16838" w:orient="portrait"/>
          <w:cols w:equalWidth="0" w:num="1">
            <w:col w:w="9019"/>
          </w:cols>
          <w:pgMar w:left="1440" w:top="242" w:right="1440" w:bottom="1440" w:gutter="0" w:footer="0" w:header="0"/>
        </w:sectPr>
      </w:pPr>
    </w:p>
    <w:bookmarkStart w:id="103" w:name="page104"/>
    <w:bookmarkEnd w:id="103"/>
    <w:p>
      <w:pPr>
        <w:ind w:left="160" w:right="219" w:firstLine="347"/>
        <w:spacing w:after="0" w:line="258"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6">
                      <a:extLst>
                        <a:ext uri="{28A0092B-C50C-407E-A947-70E740481C1C}"/>
                      </a:extLst>
                    </a:blip>
                    <a:srcRect/>
                    <a:stretch>
                      <a:fillRect/>
                    </a:stretch>
                  </pic:blipFill>
                  <pic:spPr bwMode="auto">
                    <a:xfrm>
                      <a:off x="0" y="0"/>
                      <a:ext cx="7200265" cy="33020"/>
                    </a:xfrm>
                    <a:prstGeom prst="rect">
                      <a:avLst/>
                    </a:prstGeom>
                    <a:noFill/>
                  </pic:spPr>
                </pic:pic>
              </a:graphicData>
            </a:graphic>
          </wp:anchor>
        </w:drawing>
        <w:t xml:space="preserve">Section 15.09 </w:t>
      </w:r>
      <w:r>
        <w:rPr>
          <w:rFonts w:ascii="Times New Roman" w:cs="Times New Roman" w:eastAsia="Times New Roman" w:hAnsi="Times New Roman"/>
          <w:sz w:val="14"/>
          <w:szCs w:val="14"/>
          <w:u w:val="single" w:color="auto"/>
          <w:color w:val="auto"/>
        </w:rPr>
        <w:t>Reliance on Judicial Order or Certificate of Liquidating Agent</w:t>
      </w:r>
      <w:r>
        <w:rPr>
          <w:rFonts w:ascii="Times New Roman" w:cs="Times New Roman" w:eastAsia="Times New Roman" w:hAnsi="Times New Roman"/>
          <w:sz w:val="14"/>
          <w:szCs w:val="14"/>
          <w:color w:val="auto"/>
        </w:rPr>
        <w:t xml:space="preserve">. Subject to Section 15.01, upon any payment or distribution of assets of the Company referred to in this Article XV, the Trustee and the Holders of the Securities shall be entitled to conclusively rely upon any order or decree entered by any court of competent jurisdiction in which such insolvency, bankruptcy, receivership, liquidation, </w:t>
      </w:r>
      <w:r>
        <w:rPr>
          <w:rFonts w:ascii="Times New Roman" w:cs="Times New Roman" w:eastAsia="Times New Roman" w:hAnsi="Times New Roman"/>
          <w:sz w:val="14"/>
          <w:szCs w:val="14"/>
          <w:i w:val="1"/>
          <w:iCs w:val="1"/>
          <w:color w:val="auto"/>
        </w:rPr>
        <w:t>concurso mercantil</w:t>
      </w:r>
      <w:r>
        <w:rPr>
          <w:rFonts w:ascii="Times New Roman" w:cs="Times New Roman" w:eastAsia="Times New Roman" w:hAnsi="Times New Roman"/>
          <w:sz w:val="14"/>
          <w:szCs w:val="14"/>
          <w:color w:val="auto"/>
        </w:rPr>
        <w:t>, reorganization, dissolution, winding up or similar case or proceeding is pending, or a certificate of the trustee in bankruptcy, liquidating trustee, custodian, receiver, assignee for the benefit of creditors, agent or other person making such payment or distribution, delivered to the Trustee or to the Holders of Securities, for the purpose of ascertaining the Persons entitled to participate in such payment or distribution, the holders of Senior Indebtedness and other indebtedness of the Company, the amount thereof or payable thereon, the amount or amounts paid or distributed thereon and all other facts pertinent thereto or to this Article XV.</w:t>
      </w:r>
    </w:p>
    <w:p>
      <w:pPr>
        <w:spacing w:after="0" w:line="148" w:lineRule="exact"/>
        <w:rPr>
          <w:sz w:val="20"/>
          <w:szCs w:val="20"/>
          <w:color w:val="auto"/>
        </w:rPr>
      </w:pPr>
    </w:p>
    <w:p>
      <w:pPr>
        <w:ind w:left="160" w:right="559" w:firstLine="347"/>
        <w:spacing w:after="0" w:line="271" w:lineRule="auto"/>
        <w:rPr>
          <w:sz w:val="20"/>
          <w:szCs w:val="20"/>
          <w:color w:val="auto"/>
        </w:rPr>
      </w:pPr>
      <w:r>
        <w:rPr>
          <w:rFonts w:ascii="Times New Roman" w:cs="Times New Roman" w:eastAsia="Times New Roman" w:hAnsi="Times New Roman"/>
          <w:sz w:val="14"/>
          <w:szCs w:val="14"/>
          <w:color w:val="auto"/>
        </w:rPr>
        <w:t xml:space="preserve">Section 15.10 </w:t>
      </w:r>
      <w:r>
        <w:rPr>
          <w:rFonts w:ascii="Times New Roman" w:cs="Times New Roman" w:eastAsia="Times New Roman" w:hAnsi="Times New Roman"/>
          <w:sz w:val="14"/>
          <w:szCs w:val="14"/>
          <w:u w:val="single" w:color="auto"/>
          <w:color w:val="auto"/>
        </w:rPr>
        <w:t>Satisfaction and Discharge; Defeasance and Covenant Defeasance</w:t>
      </w:r>
      <w:r>
        <w:rPr>
          <w:rFonts w:ascii="Times New Roman" w:cs="Times New Roman" w:eastAsia="Times New Roman" w:hAnsi="Times New Roman"/>
          <w:sz w:val="14"/>
          <w:szCs w:val="14"/>
          <w:color w:val="auto"/>
        </w:rPr>
        <w:t>. Subject to Section 15.01, amounts and U.S. Government Obligations deposited in trust with the Trustee pursuant to and in accordance with Article XII and not, at the time of such deposit, prohibited to be deposited under Sections 15.02 or 15.03 shall not be subject to this Article XV.</w:t>
      </w:r>
    </w:p>
    <w:p>
      <w:pPr>
        <w:spacing w:after="0" w:line="136" w:lineRule="exact"/>
        <w:rPr>
          <w:sz w:val="20"/>
          <w:szCs w:val="20"/>
          <w:color w:val="auto"/>
        </w:rPr>
      </w:pPr>
    </w:p>
    <w:p>
      <w:pPr>
        <w:ind w:left="160" w:right="259" w:firstLine="347"/>
        <w:spacing w:after="0" w:line="260" w:lineRule="auto"/>
        <w:rPr>
          <w:sz w:val="20"/>
          <w:szCs w:val="20"/>
          <w:color w:val="auto"/>
        </w:rPr>
      </w:pPr>
      <w:r>
        <w:rPr>
          <w:rFonts w:ascii="Times New Roman" w:cs="Times New Roman" w:eastAsia="Times New Roman" w:hAnsi="Times New Roman"/>
          <w:sz w:val="14"/>
          <w:szCs w:val="14"/>
          <w:color w:val="auto"/>
        </w:rPr>
        <w:t xml:space="preserve">Section 15.11 </w:t>
      </w:r>
      <w:r>
        <w:rPr>
          <w:rFonts w:ascii="Times New Roman" w:cs="Times New Roman" w:eastAsia="Times New Roman" w:hAnsi="Times New Roman"/>
          <w:sz w:val="14"/>
          <w:szCs w:val="14"/>
          <w:u w:val="single" w:color="auto"/>
          <w:color w:val="auto"/>
        </w:rPr>
        <w:t>Trustee Not Fiduciary for Holders of Senior Indebtedness</w:t>
      </w:r>
      <w:r>
        <w:rPr>
          <w:rFonts w:ascii="Times New Roman" w:cs="Times New Roman" w:eastAsia="Times New Roman" w:hAnsi="Times New Roman"/>
          <w:sz w:val="14"/>
          <w:szCs w:val="14"/>
          <w:color w:val="auto"/>
        </w:rPr>
        <w:t>. With respect to the holders of Senior Indebtedness, the Trustee undertakes to perform or observe only such of its covenants and obligations as are specifically set forth in this Article XV, and no implied covenants or obligations with respect to the holders of Senior Indebtedness shall be read into this Indenture against the Trustee. The Trustee shall not be deemed to owe any fiduciary duty to the holders of Senior Indebtedness. The Trustee shall not be liable to any such holder if it shall pay over or distribute to or on behalf of Holders of Securities or the Company, or any other Person, moneys or assets to which any holder of Senior Indebtedness shall be entitled by virtue of this Article XV or otherwise.</w:t>
      </w: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ARTICLE XVI</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u w:val="single" w:color="auto"/>
          <w:color w:val="auto"/>
        </w:rPr>
        <w:t>MISCELLANEOUS PROVISIONS</w:t>
      </w:r>
    </w:p>
    <w:p>
      <w:pPr>
        <w:spacing w:after="0" w:line="18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 xml:space="preserve">Section 16.01 </w:t>
      </w:r>
      <w:r>
        <w:rPr>
          <w:rFonts w:ascii="Times New Roman" w:cs="Times New Roman" w:eastAsia="Times New Roman" w:hAnsi="Times New Roman"/>
          <w:sz w:val="14"/>
          <w:szCs w:val="14"/>
          <w:u w:val="single" w:color="auto"/>
          <w:color w:val="auto"/>
        </w:rPr>
        <w:t>Certificates and Opinions as to Conditions Precedent</w:t>
      </w:r>
      <w:r>
        <w:rPr>
          <w:rFonts w:ascii="Times New Roman" w:cs="Times New Roman" w:eastAsia="Times New Roman" w:hAnsi="Times New Roman"/>
          <w:sz w:val="14"/>
          <w:szCs w:val="14"/>
          <w:color w:val="auto"/>
        </w:rPr>
        <w:t>.</w:t>
      </w:r>
    </w:p>
    <w:p>
      <w:pPr>
        <w:spacing w:after="0" w:line="179" w:lineRule="exact"/>
        <w:rPr>
          <w:sz w:val="20"/>
          <w:szCs w:val="20"/>
          <w:color w:val="auto"/>
        </w:rPr>
      </w:pPr>
    </w:p>
    <w:p>
      <w:pPr>
        <w:ind w:left="160" w:right="239" w:firstLine="784"/>
        <w:spacing w:after="0" w:line="262" w:lineRule="auto"/>
        <w:tabs>
          <w:tab w:leader="none" w:pos="1134" w:val="left"/>
        </w:tabs>
        <w:numPr>
          <w:ilvl w:val="0"/>
          <w:numId w:val="9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Upon any request or application by the Company to the Trustee to take any action under any of the provisions of this Indenture, the Company shall furnish to the Trustee an Officer’s Certificate stating that all conditions precedent, if any, provided for in this Indenture relating to the proposed action have been complied with and an Opinion of Counsel stating that in the opinion of such counsel all such conditions precedent have been complied with, except that in the case of any such application or demand as to which the furnishing of such document is specifically required by any provision of this Indenture relating to such particular application or demand, no additional certificate or opinion need be furnished.</w:t>
      </w:r>
    </w:p>
    <w:p>
      <w:pPr>
        <w:spacing w:after="0" w:line="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70</w:t>
      </w:r>
    </w:p>
    <w:p>
      <w:pPr>
        <w:sectPr>
          <w:pgSz w:w="11900" w:h="16838" w:orient="portrait"/>
          <w:cols w:equalWidth="0" w:num="1">
            <w:col w:w="9019"/>
          </w:cols>
          <w:pgMar w:left="1440" w:top="242" w:right="1440" w:bottom="1440" w:gutter="0" w:footer="0" w:header="0"/>
        </w:sectPr>
      </w:pPr>
    </w:p>
    <w:bookmarkStart w:id="104" w:name="page105"/>
    <w:bookmarkEnd w:id="104"/>
    <w:p>
      <w:pPr>
        <w:ind w:left="160" w:right="199" w:firstLine="784"/>
        <w:spacing w:after="0" w:line="259" w:lineRule="auto"/>
        <w:tabs>
          <w:tab w:leader="none" w:pos="1142" w:val="left"/>
        </w:tabs>
        <w:numPr>
          <w:ilvl w:val="0"/>
          <w:numId w:val="10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7">
                      <a:extLst>
                        <a:ext uri="{28A0092B-C50C-407E-A947-70E740481C1C}"/>
                      </a:extLst>
                    </a:blip>
                    <a:srcRect/>
                    <a:stretch>
                      <a:fillRect/>
                    </a:stretch>
                  </pic:blipFill>
                  <pic:spPr bwMode="auto">
                    <a:xfrm>
                      <a:off x="0" y="0"/>
                      <a:ext cx="7200265" cy="33020"/>
                    </a:xfrm>
                    <a:prstGeom prst="rect">
                      <a:avLst/>
                    </a:prstGeom>
                    <a:noFill/>
                  </pic:spPr>
                </pic:pic>
              </a:graphicData>
            </a:graphic>
          </wp:anchor>
        </w:drawing>
        <w:t>Each certificate or opinion provided for in this Indenture and delivered to the Trustee with respect to compliance with a condition or covenant provided for in this Indenture (other than the certificates provided pursuant to Section 6.05 of this Indenture) shall include (i) a statement that the Person giving such certificate or opinion has read such covenant or condition; (ii) a brief statement as to the nature and scope of the examination or investigation upon which the statements or opinions contained in such certificate or opinion are based; (iii) a statement that, in the view or opinion of such Person, he or she has made such examination or investigation as is necessary to enable such Person to express an informed view or opinion as to whether or not such covenant or condition has been complied with; and (iv) a statement as to whether or not, in the view or opinion of such Person, such condition or covenant has been complied with.</w:t>
      </w:r>
    </w:p>
    <w:p>
      <w:pPr>
        <w:spacing w:after="0" w:line="145" w:lineRule="exact"/>
        <w:rPr>
          <w:rFonts w:ascii="Times New Roman" w:cs="Times New Roman" w:eastAsia="Times New Roman" w:hAnsi="Times New Roman"/>
          <w:sz w:val="14"/>
          <w:szCs w:val="14"/>
          <w:color w:val="auto"/>
        </w:rPr>
      </w:pPr>
    </w:p>
    <w:p>
      <w:pPr>
        <w:ind w:left="160" w:right="179" w:firstLine="784"/>
        <w:spacing w:after="0" w:line="260" w:lineRule="auto"/>
        <w:tabs>
          <w:tab w:leader="none" w:pos="1134" w:val="left"/>
        </w:tabs>
        <w:numPr>
          <w:ilvl w:val="0"/>
          <w:numId w:val="10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certificate, statement or opinion of an Officer of the Company may be based, insofar as it relates to legal matters, upon a certificate or opinion of, or representations by, counsel, unless such Officer knows, or in the exercise of reasonable care should know, that the certificate or opinion or representations with respect to the matters upon which his or her certificate, statement or opinion is based are erroneous. Any certificate, statement or Opinion of Counsel may be based, insofar as it relates to factual matters, upon a certificate, statement or opinion of, or representations by, an Officer or Officers of the Company stating that the information with respect to such factual matters is in the possession of the Company, unless such counsel knows, or in the exercise of reasonable care should know, that the certificate, statement or opinion or representations with respect to such matters are erroneous.</w:t>
      </w:r>
    </w:p>
    <w:p>
      <w:pPr>
        <w:spacing w:after="0" w:line="315" w:lineRule="exact"/>
        <w:rPr>
          <w:rFonts w:ascii="Times New Roman" w:cs="Times New Roman" w:eastAsia="Times New Roman" w:hAnsi="Times New Roman"/>
          <w:sz w:val="14"/>
          <w:szCs w:val="14"/>
          <w:color w:val="auto"/>
        </w:rPr>
      </w:pPr>
    </w:p>
    <w:p>
      <w:pPr>
        <w:ind w:left="160" w:right="259" w:firstLine="784"/>
        <w:spacing w:after="0" w:line="262" w:lineRule="auto"/>
        <w:tabs>
          <w:tab w:leader="none" w:pos="1142" w:val="left"/>
        </w:tabs>
        <w:numPr>
          <w:ilvl w:val="0"/>
          <w:numId w:val="10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certificate, statement or opinion of an Officer of the Company or of counsel to the Company may be based, insofar as it relates to accounting matters, upon a certificate or opinion of, or representations by, an accountant or firm of accountants, unless such officer or counsel, as the case may be, knows, or in the exercise of reasonable care should know, that the certificate or opinion or representations with respect to the accounting matters upon which his or her certificate, statement or opinion may be based are erroneous. Any certificate or opinion of any firm of independent registered public accountants filed with the Trustee shall contain a statement that such firm is independent.</w:t>
      </w:r>
    </w:p>
    <w:p>
      <w:pPr>
        <w:spacing w:after="0" w:line="142" w:lineRule="exact"/>
        <w:rPr>
          <w:rFonts w:ascii="Times New Roman" w:cs="Times New Roman" w:eastAsia="Times New Roman" w:hAnsi="Times New Roman"/>
          <w:sz w:val="14"/>
          <w:szCs w:val="14"/>
          <w:color w:val="auto"/>
        </w:rPr>
      </w:pPr>
    </w:p>
    <w:p>
      <w:pPr>
        <w:ind w:left="160" w:right="299" w:firstLine="784"/>
        <w:spacing w:after="0" w:line="265" w:lineRule="auto"/>
        <w:tabs>
          <w:tab w:leader="none" w:pos="1134" w:val="left"/>
        </w:tabs>
        <w:numPr>
          <w:ilvl w:val="0"/>
          <w:numId w:val="10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any case where several matters are required to be certified by, or covered by an opinion of, any specified Person, it is not necessary that all such matters be certified by, or covered by the opinion of, only one such Person, or that they be so certified or covered by only one document, but one such Person may certify or give an opinion with respect to some matters and one or more other such Persons as to other matters, and any such Person may certify or give an opinion as to such matters in one or several documents.</w:t>
      </w:r>
    </w:p>
    <w:p>
      <w:pPr>
        <w:spacing w:after="0" w:line="140" w:lineRule="exact"/>
        <w:rPr>
          <w:rFonts w:ascii="Times New Roman" w:cs="Times New Roman" w:eastAsia="Times New Roman" w:hAnsi="Times New Roman"/>
          <w:sz w:val="14"/>
          <w:szCs w:val="14"/>
          <w:color w:val="auto"/>
        </w:rPr>
      </w:pPr>
    </w:p>
    <w:p>
      <w:pPr>
        <w:ind w:left="160" w:right="179" w:firstLine="784"/>
        <w:spacing w:after="0" w:line="288" w:lineRule="auto"/>
        <w:tabs>
          <w:tab w:leader="none" w:pos="1118" w:val="left"/>
        </w:tabs>
        <w:numPr>
          <w:ilvl w:val="0"/>
          <w:numId w:val="10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Where any Person is required to make, give or execute two or more applications, requests, consents, certificates, statements, opinions or other instruments under this Indenture, they may, but need not, be consolidated and form one instrument.</w:t>
      </w:r>
    </w:p>
    <w:p>
      <w:pPr>
        <w:spacing w:after="0" w:line="124" w:lineRule="exact"/>
        <w:rPr>
          <w:sz w:val="20"/>
          <w:szCs w:val="20"/>
          <w:color w:val="auto"/>
        </w:rPr>
      </w:pPr>
    </w:p>
    <w:p>
      <w:pPr>
        <w:ind w:left="160" w:right="199" w:firstLine="347"/>
        <w:spacing w:after="0" w:line="271" w:lineRule="auto"/>
        <w:rPr>
          <w:sz w:val="20"/>
          <w:szCs w:val="20"/>
          <w:color w:val="auto"/>
        </w:rPr>
      </w:pPr>
      <w:r>
        <w:rPr>
          <w:rFonts w:ascii="Times New Roman" w:cs="Times New Roman" w:eastAsia="Times New Roman" w:hAnsi="Times New Roman"/>
          <w:sz w:val="14"/>
          <w:szCs w:val="14"/>
          <w:color w:val="auto"/>
        </w:rPr>
        <w:t xml:space="preserve">Section 16.02 </w:t>
      </w:r>
      <w:r>
        <w:rPr>
          <w:rFonts w:ascii="Times New Roman" w:cs="Times New Roman" w:eastAsia="Times New Roman" w:hAnsi="Times New Roman"/>
          <w:sz w:val="14"/>
          <w:szCs w:val="14"/>
          <w:u w:val="single" w:color="auto"/>
          <w:color w:val="auto"/>
        </w:rPr>
        <w:t>Trust Indenture Act Controls</w:t>
      </w:r>
      <w:r>
        <w:rPr>
          <w:rFonts w:ascii="Times New Roman" w:cs="Times New Roman" w:eastAsia="Times New Roman" w:hAnsi="Times New Roman"/>
          <w:sz w:val="14"/>
          <w:szCs w:val="14"/>
          <w:color w:val="auto"/>
        </w:rPr>
        <w:t>. If and to the extent that any provision of this Indenture limits, qualifies or conflicts with the duties imposed by, or another provision included in this Indenture which is required to be included in this Indenture by any of the provisions of Sections 310 to 318, inclusive, of the Trust Indenture Act, such imposed duties or incorporated provision shall control.</w:t>
      </w:r>
    </w:p>
    <w:p>
      <w:pPr>
        <w:spacing w:after="0" w:line="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71</w:t>
      </w:r>
    </w:p>
    <w:p>
      <w:pPr>
        <w:sectPr>
          <w:pgSz w:w="11900" w:h="16838" w:orient="portrait"/>
          <w:cols w:equalWidth="0" w:num="1">
            <w:col w:w="9019"/>
          </w:cols>
          <w:pgMar w:left="1440" w:top="242" w:right="1440" w:bottom="1440" w:gutter="0" w:footer="0" w:header="0"/>
        </w:sectPr>
      </w:pPr>
    </w:p>
    <w:bookmarkStart w:id="105" w:name="page106"/>
    <w:bookmarkEnd w:id="105"/>
    <w:p>
      <w:pPr>
        <w:ind w:left="160" w:right="239" w:firstLine="347"/>
        <w:spacing w:after="0" w:line="271"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8">
                      <a:extLst>
                        <a:ext uri="{28A0092B-C50C-407E-A947-70E740481C1C}"/>
                      </a:extLst>
                    </a:blip>
                    <a:srcRect/>
                    <a:stretch>
                      <a:fillRect/>
                    </a:stretch>
                  </pic:blipFill>
                  <pic:spPr bwMode="auto">
                    <a:xfrm>
                      <a:off x="0" y="0"/>
                      <a:ext cx="7200265" cy="33020"/>
                    </a:xfrm>
                    <a:prstGeom prst="rect">
                      <a:avLst/>
                    </a:prstGeom>
                    <a:noFill/>
                  </pic:spPr>
                </pic:pic>
              </a:graphicData>
            </a:graphic>
          </wp:anchor>
        </w:drawing>
        <w:t xml:space="preserve">Section 16.03 </w:t>
      </w:r>
      <w:r>
        <w:rPr>
          <w:rFonts w:ascii="Times New Roman" w:cs="Times New Roman" w:eastAsia="Times New Roman" w:hAnsi="Times New Roman"/>
          <w:sz w:val="14"/>
          <w:szCs w:val="14"/>
          <w:u w:val="single" w:color="auto"/>
          <w:color w:val="auto"/>
        </w:rPr>
        <w:t>Notices to the Company and Trustee</w:t>
      </w:r>
      <w:r>
        <w:rPr>
          <w:rFonts w:ascii="Times New Roman" w:cs="Times New Roman" w:eastAsia="Times New Roman" w:hAnsi="Times New Roman"/>
          <w:sz w:val="14"/>
          <w:szCs w:val="14"/>
          <w:color w:val="auto"/>
        </w:rPr>
        <w:t>. Any notice or demand authorized by this Indenture to be made upon, given or furnished to, or filed with, the Company or the Trustee shall be sufficiently made, given, furnished or filed for all purposes if it shall be mailed, delivered or electronically delivered to:</w:t>
      </w:r>
    </w:p>
    <w:p>
      <w:pPr>
        <w:spacing w:after="0" w:line="50" w:lineRule="exact"/>
        <w:rPr>
          <w:sz w:val="20"/>
          <w:szCs w:val="20"/>
          <w:color w:val="auto"/>
        </w:rPr>
      </w:pPr>
    </w:p>
    <w:p>
      <w:pPr>
        <w:ind w:left="160" w:right="379" w:firstLine="784"/>
        <w:spacing w:after="0" w:line="271" w:lineRule="auto"/>
        <w:tabs>
          <w:tab w:leader="none" w:pos="1134" w:val="left"/>
        </w:tabs>
        <w:numPr>
          <w:ilvl w:val="0"/>
          <w:numId w:val="10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at c/o Cemex, S.A.B. de C.V., Avenida Ricardo Margáin Zozaya #325, Colonia Valle del Campestre, San Pedro Garza García, Nuevo León, Mexico 66265, Attention: Finance Department—Chief Financial Officer, Email: maher.alhaffar@cemex.com or at such other address or email as may have been furnished in writing to the Trustee by the Company.</w:t>
      </w:r>
    </w:p>
    <w:p>
      <w:pPr>
        <w:spacing w:after="0" w:line="135" w:lineRule="exact"/>
        <w:rPr>
          <w:rFonts w:ascii="Times New Roman" w:cs="Times New Roman" w:eastAsia="Times New Roman" w:hAnsi="Times New Roman"/>
          <w:sz w:val="14"/>
          <w:szCs w:val="14"/>
          <w:color w:val="auto"/>
        </w:rPr>
      </w:pPr>
    </w:p>
    <w:p>
      <w:pPr>
        <w:ind w:left="1140" w:hanging="196"/>
        <w:spacing w:after="0"/>
        <w:tabs>
          <w:tab w:leader="none" w:pos="1140" w:val="left"/>
        </w:tabs>
        <w:numPr>
          <w:ilvl w:val="0"/>
          <w:numId w:val="10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Trustee, at c/o The Bank of New York Mellon, 240 Greenwich Street, Floor 7 East, New York, NY 10286, Attention: International</w:t>
      </w:r>
    </w:p>
    <w:p>
      <w:pPr>
        <w:spacing w:after="0" w:line="23" w:lineRule="exact"/>
        <w:rPr>
          <w:rFonts w:ascii="Times New Roman" w:cs="Times New Roman" w:eastAsia="Times New Roman" w:hAnsi="Times New Roman"/>
          <w:sz w:val="14"/>
          <w:szCs w:val="14"/>
          <w:color w:val="auto"/>
        </w:rPr>
      </w:pPr>
    </w:p>
    <w:p>
      <w:pPr>
        <w:ind w:left="16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Corporate Trust.</w:t>
      </w:r>
    </w:p>
    <w:p>
      <w:pPr>
        <w:spacing w:after="0" w:line="16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4"/>
          <w:szCs w:val="14"/>
          <w:color w:val="auto"/>
        </w:rPr>
        <w:t>Any such notice, demand or other document shall be in the English language.</w:t>
      </w:r>
    </w:p>
    <w:p>
      <w:pPr>
        <w:spacing w:after="0" w:line="179" w:lineRule="exact"/>
        <w:rPr>
          <w:sz w:val="20"/>
          <w:szCs w:val="20"/>
          <w:color w:val="auto"/>
        </w:rPr>
      </w:pPr>
    </w:p>
    <w:p>
      <w:pPr>
        <w:ind w:left="160" w:right="539" w:firstLine="347"/>
        <w:spacing w:after="0" w:line="288" w:lineRule="auto"/>
        <w:rPr>
          <w:sz w:val="20"/>
          <w:szCs w:val="20"/>
          <w:color w:val="auto"/>
        </w:rPr>
      </w:pPr>
      <w:r>
        <w:rPr>
          <w:rFonts w:ascii="Times New Roman" w:cs="Times New Roman" w:eastAsia="Times New Roman" w:hAnsi="Times New Roman"/>
          <w:sz w:val="14"/>
          <w:szCs w:val="14"/>
          <w:color w:val="auto"/>
        </w:rPr>
        <w:t xml:space="preserve">Section 16.04 </w:t>
      </w:r>
      <w:r>
        <w:rPr>
          <w:rFonts w:ascii="Times New Roman" w:cs="Times New Roman" w:eastAsia="Times New Roman" w:hAnsi="Times New Roman"/>
          <w:sz w:val="14"/>
          <w:szCs w:val="14"/>
          <w:u w:val="single" w:color="auto"/>
          <w:color w:val="auto"/>
        </w:rPr>
        <w:t>Notices to Securityholders; Waiver</w:t>
      </w:r>
      <w:r>
        <w:rPr>
          <w:rFonts w:ascii="Times New Roman" w:cs="Times New Roman" w:eastAsia="Times New Roman" w:hAnsi="Times New Roman"/>
          <w:sz w:val="14"/>
          <w:szCs w:val="14"/>
          <w:color w:val="auto"/>
        </w:rPr>
        <w:t>. Any notice required or permitted to be given to Securityholders shall be sufficiently given (unless otherwise herein expressly provided),</w:t>
      </w:r>
    </w:p>
    <w:p>
      <w:pPr>
        <w:spacing w:after="0" w:line="124" w:lineRule="exact"/>
        <w:rPr>
          <w:sz w:val="20"/>
          <w:szCs w:val="20"/>
          <w:color w:val="auto"/>
        </w:rPr>
      </w:pPr>
    </w:p>
    <w:p>
      <w:pPr>
        <w:ind w:left="160" w:right="299" w:firstLine="784"/>
        <w:spacing w:after="0" w:line="265" w:lineRule="auto"/>
        <w:tabs>
          <w:tab w:leader="none" w:pos="1134" w:val="left"/>
        </w:tabs>
        <w:numPr>
          <w:ilvl w:val="0"/>
          <w:numId w:val="10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if to Holders, if given in writing by first class mail, postage prepaid, to such Holders at their addresses as the same shall appear on the Register of the Company;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that in the event of suspension of regular mail service or by reason of any other cause it shall be impracticable to give notice by mail, then such notification as shall be given with the approval of the Trustee shall constitute sufficient notice for every purpose hereunder; or</w:t>
      </w:r>
    </w:p>
    <w:p>
      <w:pPr>
        <w:spacing w:after="0" w:line="140" w:lineRule="exact"/>
        <w:rPr>
          <w:rFonts w:ascii="Times New Roman" w:cs="Times New Roman" w:eastAsia="Times New Roman" w:hAnsi="Times New Roman"/>
          <w:sz w:val="14"/>
          <w:szCs w:val="14"/>
          <w:color w:val="auto"/>
        </w:rPr>
      </w:pPr>
    </w:p>
    <w:p>
      <w:pPr>
        <w:ind w:left="160" w:right="639" w:firstLine="784"/>
        <w:spacing w:after="0" w:line="271" w:lineRule="auto"/>
        <w:tabs>
          <w:tab w:leader="none" w:pos="1142" w:val="left"/>
        </w:tabs>
        <w:numPr>
          <w:ilvl w:val="0"/>
          <w:numId w:val="10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a series of Securities has been issued in the form of one or more Global Securities through DTC as Depositary, notice may be provided with respect to such series of Securities by delivery of such notice to DTC for posting through its “Legal Notice Service” (LENS) or a successor system thereof.</w:t>
      </w:r>
    </w:p>
    <w:p>
      <w:pPr>
        <w:spacing w:after="0" w:line="136" w:lineRule="exact"/>
        <w:rPr>
          <w:sz w:val="20"/>
          <w:szCs w:val="20"/>
          <w:color w:val="auto"/>
        </w:rPr>
      </w:pPr>
    </w:p>
    <w:p>
      <w:pPr>
        <w:ind w:left="160" w:right="179" w:firstLine="347"/>
        <w:spacing w:after="0" w:line="258" w:lineRule="auto"/>
        <w:rPr>
          <w:sz w:val="20"/>
          <w:szCs w:val="20"/>
          <w:color w:val="auto"/>
        </w:rPr>
      </w:pPr>
      <w:r>
        <w:rPr>
          <w:rFonts w:ascii="Times New Roman" w:cs="Times New Roman" w:eastAsia="Times New Roman" w:hAnsi="Times New Roman"/>
          <w:sz w:val="14"/>
          <w:szCs w:val="14"/>
          <w:color w:val="auto"/>
        </w:rPr>
        <w:t>Where this Indenture provides for notice in any manner, such notice may be waived in writing by the Person entitled to receive such notice, either before or after the event, and such waiver shall be the equivalent of such notice. Waivers of notice by Holders shall be delivered to the Trustee, but such delivery shall not be a condition precedent to the validity of any action taken in reliance on such waiver. In any case where notice to Holders is given by mail; neither the failure to mail such notice nor any defect in any notice so mailed to any particular Holder shall affect the sufficiency of such notice with respect to other Holders, and any notice that is mailed in the manner herein provided shall be conclusively presumed to have been duly given. In any case where notice to Holders is given by publication, any defect in any notice so published as to any particular Holder shall not affect the sufficiency of such notice with respect to other Holders, and any notice that is published in the manner herein provided shall be conclusively presumed to have been duly given.</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72</w:t>
      </w:r>
    </w:p>
    <w:p>
      <w:pPr>
        <w:sectPr>
          <w:pgSz w:w="11900" w:h="16838" w:orient="portrait"/>
          <w:cols w:equalWidth="0" w:num="1">
            <w:col w:w="9019"/>
          </w:cols>
          <w:pgMar w:left="1440" w:top="242" w:right="1440" w:bottom="1440" w:gutter="0" w:footer="0" w:header="0"/>
        </w:sectPr>
      </w:pPr>
    </w:p>
    <w:bookmarkStart w:id="106" w:name="page107"/>
    <w:bookmarkEnd w:id="106"/>
    <w:p>
      <w:pPr>
        <w:jc w:val="both"/>
        <w:ind w:left="160" w:right="179" w:firstLine="347"/>
        <w:spacing w:after="0" w:line="260"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9">
                      <a:extLst>
                        <a:ext uri="{28A0092B-C50C-407E-A947-70E740481C1C}"/>
                      </a:extLst>
                    </a:blip>
                    <a:srcRect/>
                    <a:stretch>
                      <a:fillRect/>
                    </a:stretch>
                  </pic:blipFill>
                  <pic:spPr bwMode="auto">
                    <a:xfrm>
                      <a:off x="0" y="0"/>
                      <a:ext cx="7200265" cy="33020"/>
                    </a:xfrm>
                    <a:prstGeom prst="rect">
                      <a:avLst/>
                    </a:prstGeom>
                    <a:noFill/>
                  </pic:spPr>
                </pic:pic>
              </a:graphicData>
            </a:graphic>
          </wp:anchor>
        </w:drawing>
        <w:t xml:space="preserve">Section 16.05 </w:t>
      </w:r>
      <w:r>
        <w:rPr>
          <w:rFonts w:ascii="Times New Roman" w:cs="Times New Roman" w:eastAsia="Times New Roman" w:hAnsi="Times New Roman"/>
          <w:sz w:val="14"/>
          <w:szCs w:val="14"/>
          <w:u w:val="single" w:color="auto"/>
          <w:color w:val="auto"/>
        </w:rPr>
        <w:t>Legal Holiday</w:t>
      </w:r>
      <w:r>
        <w:rPr>
          <w:rFonts w:ascii="Times New Roman" w:cs="Times New Roman" w:eastAsia="Times New Roman" w:hAnsi="Times New Roman"/>
          <w:sz w:val="14"/>
          <w:szCs w:val="14"/>
          <w:color w:val="auto"/>
        </w:rPr>
        <w:t>. Unless otherwise specified pursuant to Section 3.01, in any case where any Interest Payment Date, Redemption Date or Maturity of any Security of any series shall not be a Business Day at any Place of Payment for the Securities of that series, then payment of principal and premium, if any, or interest need not be made at such Place of Payment on such date, but may be made on the next succeeding Business Day at such Place of Payment with the same force and effect as if made on such Interest Payment Date, Redemption Date or Maturity and no interest shall accrue on such payment for the period from and after such Interest Payment Date, Redemption Date or Maturity, as the case may be, to such Business Day if such payment is made or duly provided for on such Business Day.</w:t>
      </w:r>
    </w:p>
    <w:p>
      <w:pPr>
        <w:spacing w:after="0" w:line="145" w:lineRule="exact"/>
        <w:rPr>
          <w:sz w:val="20"/>
          <w:szCs w:val="20"/>
          <w:color w:val="auto"/>
        </w:rPr>
      </w:pPr>
    </w:p>
    <w:p>
      <w:pPr>
        <w:ind w:left="160" w:right="299" w:firstLine="347"/>
        <w:spacing w:after="0" w:line="288" w:lineRule="auto"/>
        <w:rPr>
          <w:sz w:val="20"/>
          <w:szCs w:val="20"/>
          <w:color w:val="auto"/>
        </w:rPr>
      </w:pPr>
      <w:r>
        <w:rPr>
          <w:rFonts w:ascii="Times New Roman" w:cs="Times New Roman" w:eastAsia="Times New Roman" w:hAnsi="Times New Roman"/>
          <w:sz w:val="14"/>
          <w:szCs w:val="14"/>
          <w:color w:val="auto"/>
        </w:rPr>
        <w:t xml:space="preserve">Section 16.06 </w:t>
      </w:r>
      <w:r>
        <w:rPr>
          <w:rFonts w:ascii="Times New Roman" w:cs="Times New Roman" w:eastAsia="Times New Roman" w:hAnsi="Times New Roman"/>
          <w:sz w:val="14"/>
          <w:szCs w:val="14"/>
          <w:u w:val="single" w:color="auto"/>
          <w:color w:val="auto"/>
        </w:rPr>
        <w:t>Effects of Headings and Table of Contents</w:t>
      </w:r>
      <w:r>
        <w:rPr>
          <w:rFonts w:ascii="Times New Roman" w:cs="Times New Roman" w:eastAsia="Times New Roman" w:hAnsi="Times New Roman"/>
          <w:sz w:val="14"/>
          <w:szCs w:val="14"/>
          <w:color w:val="auto"/>
        </w:rPr>
        <w:t>. The Article and Section headings herein and the Table of Contents are for convenience only and shall not affect the construction hereof.</w:t>
      </w:r>
    </w:p>
    <w:p>
      <w:pPr>
        <w:spacing w:after="0" w:line="124" w:lineRule="exact"/>
        <w:rPr>
          <w:sz w:val="20"/>
          <w:szCs w:val="20"/>
          <w:color w:val="auto"/>
        </w:rPr>
      </w:pPr>
    </w:p>
    <w:p>
      <w:pPr>
        <w:ind w:left="160" w:right="279" w:firstLine="347"/>
        <w:spacing w:after="0" w:line="288" w:lineRule="auto"/>
        <w:rPr>
          <w:sz w:val="20"/>
          <w:szCs w:val="20"/>
          <w:color w:val="auto"/>
        </w:rPr>
      </w:pPr>
      <w:r>
        <w:rPr>
          <w:rFonts w:ascii="Times New Roman" w:cs="Times New Roman" w:eastAsia="Times New Roman" w:hAnsi="Times New Roman"/>
          <w:sz w:val="14"/>
          <w:szCs w:val="14"/>
          <w:color w:val="auto"/>
        </w:rPr>
        <w:t xml:space="preserve">Section 16.07 </w:t>
      </w:r>
      <w:r>
        <w:rPr>
          <w:rFonts w:ascii="Times New Roman" w:cs="Times New Roman" w:eastAsia="Times New Roman" w:hAnsi="Times New Roman"/>
          <w:sz w:val="14"/>
          <w:szCs w:val="14"/>
          <w:u w:val="single" w:color="auto"/>
          <w:color w:val="auto"/>
        </w:rPr>
        <w:t>Successors and Assigns</w:t>
      </w:r>
      <w:r>
        <w:rPr>
          <w:rFonts w:ascii="Times New Roman" w:cs="Times New Roman" w:eastAsia="Times New Roman" w:hAnsi="Times New Roman"/>
          <w:sz w:val="14"/>
          <w:szCs w:val="14"/>
          <w:color w:val="auto"/>
        </w:rPr>
        <w:t>. All covenants and agreements in this Indenture by the parties hereto shall bind their respective successors and assigns and inure to the benefit of their permitted successors and assigns, whether so expressed or not.</w:t>
      </w:r>
    </w:p>
    <w:p>
      <w:pPr>
        <w:spacing w:after="0" w:line="124" w:lineRule="exact"/>
        <w:rPr>
          <w:sz w:val="20"/>
          <w:szCs w:val="20"/>
          <w:color w:val="auto"/>
        </w:rPr>
      </w:pPr>
    </w:p>
    <w:p>
      <w:pPr>
        <w:ind w:left="160" w:right="179" w:firstLine="347"/>
        <w:spacing w:after="0" w:line="288" w:lineRule="auto"/>
        <w:rPr>
          <w:sz w:val="20"/>
          <w:szCs w:val="20"/>
          <w:color w:val="auto"/>
        </w:rPr>
      </w:pPr>
      <w:r>
        <w:rPr>
          <w:rFonts w:ascii="Times New Roman" w:cs="Times New Roman" w:eastAsia="Times New Roman" w:hAnsi="Times New Roman"/>
          <w:sz w:val="14"/>
          <w:szCs w:val="14"/>
          <w:color w:val="auto"/>
        </w:rPr>
        <w:t xml:space="preserve">Section 16.08 </w:t>
      </w:r>
      <w:r>
        <w:rPr>
          <w:rFonts w:ascii="Times New Roman" w:cs="Times New Roman" w:eastAsia="Times New Roman" w:hAnsi="Times New Roman"/>
          <w:sz w:val="14"/>
          <w:szCs w:val="14"/>
          <w:u w:val="single" w:color="auto"/>
          <w:color w:val="auto"/>
        </w:rPr>
        <w:t>Separability Clause</w:t>
      </w:r>
      <w:r>
        <w:rPr>
          <w:rFonts w:ascii="Times New Roman" w:cs="Times New Roman" w:eastAsia="Times New Roman" w:hAnsi="Times New Roman"/>
          <w:sz w:val="14"/>
          <w:szCs w:val="14"/>
          <w:color w:val="auto"/>
        </w:rPr>
        <w:t>. In case any provision in this Indenture or in the Securities shall be invalid, illegal or unenforceable, the validity, legality and enforceability of the remaining provisions shall not in any way be affected or impaired thereby.</w:t>
      </w:r>
    </w:p>
    <w:p>
      <w:pPr>
        <w:spacing w:after="0" w:line="124" w:lineRule="exact"/>
        <w:rPr>
          <w:sz w:val="20"/>
          <w:szCs w:val="20"/>
          <w:color w:val="auto"/>
        </w:rPr>
      </w:pPr>
    </w:p>
    <w:p>
      <w:pPr>
        <w:ind w:left="160" w:right="199" w:firstLine="347"/>
        <w:spacing w:after="0" w:line="262" w:lineRule="auto"/>
        <w:rPr>
          <w:sz w:val="20"/>
          <w:szCs w:val="20"/>
          <w:color w:val="auto"/>
        </w:rPr>
      </w:pPr>
      <w:r>
        <w:rPr>
          <w:rFonts w:ascii="Times New Roman" w:cs="Times New Roman" w:eastAsia="Times New Roman" w:hAnsi="Times New Roman"/>
          <w:sz w:val="14"/>
          <w:szCs w:val="14"/>
          <w:color w:val="auto"/>
        </w:rPr>
        <w:t xml:space="preserve">Section 16.09 </w:t>
      </w:r>
      <w:r>
        <w:rPr>
          <w:rFonts w:ascii="Times New Roman" w:cs="Times New Roman" w:eastAsia="Times New Roman" w:hAnsi="Times New Roman"/>
          <w:sz w:val="14"/>
          <w:szCs w:val="14"/>
          <w:u w:val="single" w:color="auto"/>
          <w:color w:val="auto"/>
        </w:rPr>
        <w:t>Benefits of Indenture</w:t>
      </w:r>
      <w:r>
        <w:rPr>
          <w:rFonts w:ascii="Times New Roman" w:cs="Times New Roman" w:eastAsia="Times New Roman" w:hAnsi="Times New Roman"/>
          <w:sz w:val="14"/>
          <w:szCs w:val="14"/>
          <w:color w:val="auto"/>
        </w:rPr>
        <w:t>. Nothing in this Indenture expressed and nothing that may be implied from any of the provisions hereof is intended, or shall be construed, to confer upon, or to give to, any Person or corporation other than the parties hereto and their successors and the Holders of the Securities any benefit or any right, remedy or claim under or by reason of this Indenture or any covenant, condition, stipulation, promise or agreement hereof, and all covenants, conditions, stipulations, promises and agreements in this Indenture contained shall be for the sole and exclusive benefit of the parties hereto and their successors and of the Holders of the Securities.</w:t>
      </w:r>
    </w:p>
    <w:p>
      <w:pPr>
        <w:spacing w:after="0" w:line="143" w:lineRule="exact"/>
        <w:rPr>
          <w:sz w:val="20"/>
          <w:szCs w:val="20"/>
          <w:color w:val="auto"/>
        </w:rPr>
      </w:pPr>
    </w:p>
    <w:p>
      <w:pPr>
        <w:ind w:left="160" w:right="239" w:firstLine="347"/>
        <w:spacing w:after="0" w:line="288" w:lineRule="auto"/>
        <w:rPr>
          <w:sz w:val="20"/>
          <w:szCs w:val="20"/>
          <w:color w:val="auto"/>
        </w:rPr>
      </w:pPr>
      <w:r>
        <w:rPr>
          <w:rFonts w:ascii="Times New Roman" w:cs="Times New Roman" w:eastAsia="Times New Roman" w:hAnsi="Times New Roman"/>
          <w:sz w:val="14"/>
          <w:szCs w:val="14"/>
          <w:color w:val="auto"/>
        </w:rPr>
        <w:t xml:space="preserve">Section 16.10 </w:t>
      </w:r>
      <w:r>
        <w:rPr>
          <w:rFonts w:ascii="Times New Roman" w:cs="Times New Roman" w:eastAsia="Times New Roman" w:hAnsi="Times New Roman"/>
          <w:sz w:val="14"/>
          <w:szCs w:val="14"/>
          <w:u w:val="single" w:color="auto"/>
          <w:color w:val="auto"/>
        </w:rPr>
        <w:t>Counterparts Originals</w:t>
      </w:r>
      <w:r>
        <w:rPr>
          <w:rFonts w:ascii="Times New Roman" w:cs="Times New Roman" w:eastAsia="Times New Roman" w:hAnsi="Times New Roman"/>
          <w:sz w:val="14"/>
          <w:szCs w:val="14"/>
          <w:color w:val="auto"/>
        </w:rPr>
        <w:t>. This Indenture may be executed in any number of counterparts, each of which so executed shall be deemed to be an original, but all such counterparts shall together constitute but one and the same instrument.</w:t>
      </w:r>
    </w:p>
    <w:p>
      <w:pPr>
        <w:spacing w:after="0" w:line="124" w:lineRule="exact"/>
        <w:rPr>
          <w:sz w:val="20"/>
          <w:szCs w:val="20"/>
          <w:color w:val="auto"/>
        </w:rPr>
      </w:pPr>
    </w:p>
    <w:p>
      <w:pPr>
        <w:ind w:left="160" w:right="279" w:firstLine="347"/>
        <w:spacing w:after="0" w:line="271" w:lineRule="auto"/>
        <w:rPr>
          <w:sz w:val="20"/>
          <w:szCs w:val="20"/>
          <w:color w:val="auto"/>
        </w:rPr>
      </w:pPr>
      <w:r>
        <w:rPr>
          <w:rFonts w:ascii="Times New Roman" w:cs="Times New Roman" w:eastAsia="Times New Roman" w:hAnsi="Times New Roman"/>
          <w:sz w:val="14"/>
          <w:szCs w:val="14"/>
          <w:color w:val="auto"/>
        </w:rPr>
        <w:t xml:space="preserve">Section 16.11 </w:t>
      </w:r>
      <w:r>
        <w:rPr>
          <w:rFonts w:ascii="Times New Roman" w:cs="Times New Roman" w:eastAsia="Times New Roman" w:hAnsi="Times New Roman"/>
          <w:sz w:val="14"/>
          <w:szCs w:val="14"/>
          <w:u w:val="single" w:color="auto"/>
          <w:color w:val="auto"/>
        </w:rPr>
        <w:t>Governing Law; Waiver of Trial by Jury; Submission to Jurisdiction; Service of Process</w:t>
      </w:r>
      <w:r>
        <w:rPr>
          <w:rFonts w:ascii="Times New Roman" w:cs="Times New Roman" w:eastAsia="Times New Roman" w:hAnsi="Times New Roman"/>
          <w:sz w:val="14"/>
          <w:szCs w:val="14"/>
          <w:color w:val="auto"/>
        </w:rPr>
        <w:t>. This Indenture and the Securities shall be deemed to be contracts made under the law of the State of New York, and for all purposes shall be governed by and construed in accordance with the law of said State.</w:t>
      </w:r>
    </w:p>
    <w:p>
      <w:pPr>
        <w:spacing w:after="0" w:line="136" w:lineRule="exact"/>
        <w:rPr>
          <w:sz w:val="20"/>
          <w:szCs w:val="20"/>
          <w:color w:val="auto"/>
        </w:rPr>
      </w:pPr>
    </w:p>
    <w:p>
      <w:pPr>
        <w:ind w:left="160" w:right="299" w:firstLine="347"/>
        <w:spacing w:after="0" w:line="271" w:lineRule="auto"/>
        <w:rPr>
          <w:sz w:val="20"/>
          <w:szCs w:val="20"/>
          <w:color w:val="auto"/>
        </w:rPr>
      </w:pPr>
      <w:r>
        <w:rPr>
          <w:rFonts w:ascii="Times New Roman" w:cs="Times New Roman" w:eastAsia="Times New Roman" w:hAnsi="Times New Roman"/>
          <w:sz w:val="14"/>
          <w:szCs w:val="14"/>
          <w:color w:val="auto"/>
        </w:rPr>
        <w:t>EACH PARTY HERETO, AND EACH HOLDER OF A SECURITY BY ACCEPTANCE THEREOF, HEREBY WAIVES, TO THE FULLEST EXTENT PERMITTED BY APPLICABLE LAW, ANY RIGHT IT MAY HAVE TO A TRIAL BY JURY IN RESPECT OF ANY LITIGATION DIRECTLY OR INDIRECTLY ARISING OUT OF, UNDER OR IN CONNECTION WITH THIS INDENTURE.</w:t>
      </w:r>
    </w:p>
    <w:p>
      <w:pPr>
        <w:spacing w:after="0" w:line="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73</w:t>
      </w:r>
    </w:p>
    <w:p>
      <w:pPr>
        <w:sectPr>
          <w:pgSz w:w="11900" w:h="16838" w:orient="portrait"/>
          <w:cols w:equalWidth="0" w:num="1">
            <w:col w:w="9019"/>
          </w:cols>
          <w:pgMar w:left="1440" w:top="242" w:right="1440" w:bottom="1440" w:gutter="0" w:footer="0" w:header="0"/>
        </w:sectPr>
      </w:pPr>
    </w:p>
    <w:bookmarkStart w:id="107" w:name="page108"/>
    <w:bookmarkEnd w:id="107"/>
    <w:p>
      <w:pPr>
        <w:ind w:left="160" w:right="179" w:firstLine="347"/>
        <w:spacing w:after="0" w:line="258"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40">
                      <a:extLst>
                        <a:ext uri="{28A0092B-C50C-407E-A947-70E740481C1C}"/>
                      </a:extLst>
                    </a:blip>
                    <a:srcRect/>
                    <a:stretch>
                      <a:fillRect/>
                    </a:stretch>
                  </pic:blipFill>
                  <pic:spPr bwMode="auto">
                    <a:xfrm>
                      <a:off x="0" y="0"/>
                      <a:ext cx="7200265" cy="33020"/>
                    </a:xfrm>
                    <a:prstGeom prst="rect">
                      <a:avLst/>
                    </a:prstGeom>
                    <a:noFill/>
                  </pic:spPr>
                </pic:pic>
              </a:graphicData>
            </a:graphic>
          </wp:anchor>
        </w:drawing>
        <w:t>The Company irrevocably and unconditionally submits to the exclusive jurisdiction of any U.S. federal or New York State court located in the Borough of Manhattan, The City of New York over any suit, action or proceeding arising out of or relating to this Indenture or the Securities. The Company irrevocably and unconditionally waives, to the fullest extent permitted by applicable law, any objection to the laying of venue of any such suit, action or proceeding brought in any such court and any claim that any such suit, action or proceeding has been brought in an inconvenient forum. A final judgment in any such suit, action or proceeding brought in any such court shall be conclusive and binding upon the Company and may be enforced in any other courts to whose jurisdiction the Company is or may be subject, by suit upon judgment. The Company further agrees that nothing herein shall affect any Holder’s right to effect service of process in any other manner permitted by law or bring a suit action or proceeding (including a proceeding for enforcement of a judgment) in any other court or jurisdiction in accordance with applicable law.</w:t>
      </w:r>
    </w:p>
    <w:p>
      <w:pPr>
        <w:spacing w:after="0" w:line="148" w:lineRule="exact"/>
        <w:rPr>
          <w:sz w:val="20"/>
          <w:szCs w:val="20"/>
          <w:color w:val="auto"/>
        </w:rPr>
      </w:pPr>
    </w:p>
    <w:p>
      <w:pPr>
        <w:ind w:left="160" w:right="199" w:firstLine="347"/>
        <w:spacing w:after="0" w:line="257" w:lineRule="auto"/>
        <w:rPr>
          <w:sz w:val="20"/>
          <w:szCs w:val="20"/>
          <w:color w:val="auto"/>
        </w:rPr>
      </w:pPr>
      <w:r>
        <w:rPr>
          <w:rFonts w:ascii="Times New Roman" w:cs="Times New Roman" w:eastAsia="Times New Roman" w:hAnsi="Times New Roman"/>
          <w:sz w:val="14"/>
          <w:szCs w:val="14"/>
          <w:color w:val="auto"/>
        </w:rPr>
        <w:t>The Company has appointed Cemex NY Corporation, 590 Madison Avenue, 27th Floor, New York, New York 10022, as its authorized agent (the “Authorized Agent”) upon which process may be served in any legal suit, action or proceeding arising out of or relating to this Indenture or the Securities which may be instituted in any U.S. federal or New York state court in the Borough of Manhattan, The City of New York, New York, and agrees that service of process upon such agent, and written notice, or notice in any other manner permitted by applicable law, of said service to the Company by the Person serving the same, shall be deemed in every respect effective service of process upon the Company in any such suit, action or proceeding and further designates its domicile, the domicile of the Authorized Agent specified above and any domicile the Authorized Agent may have in the future as its domicile to receive any notice hereunder (including service of process). If for any reason the Authorized Agent (or any successor agent for this purpose) shall cease to act as agent for service of process as provided above, the Company shall promptly appoint a successor agent for this purpose reasonably acceptable to the Trustee. The Company agrees to take any and all actions as may be necessary to maintain such designation and appointment of such agent in full force and effect.</w:t>
      </w:r>
    </w:p>
    <w:p>
      <w:pPr>
        <w:spacing w:after="0" w:line="14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 xml:space="preserve">Section 16.12 </w:t>
      </w:r>
      <w:r>
        <w:rPr>
          <w:rFonts w:ascii="Times New Roman" w:cs="Times New Roman" w:eastAsia="Times New Roman" w:hAnsi="Times New Roman"/>
          <w:sz w:val="14"/>
          <w:szCs w:val="14"/>
          <w:u w:val="single" w:color="auto"/>
          <w:color w:val="auto"/>
        </w:rPr>
        <w:t>Currency Indemnity</w:t>
      </w:r>
      <w:r>
        <w:rPr>
          <w:rFonts w:ascii="Times New Roman" w:cs="Times New Roman" w:eastAsia="Times New Roman" w:hAnsi="Times New Roman"/>
          <w:sz w:val="14"/>
          <w:szCs w:val="14"/>
          <w:color w:val="auto"/>
        </w:rPr>
        <w:t>.</w:t>
      </w:r>
    </w:p>
    <w:p>
      <w:pPr>
        <w:spacing w:after="0" w:line="179" w:lineRule="exact"/>
        <w:rPr>
          <w:sz w:val="20"/>
          <w:szCs w:val="20"/>
          <w:color w:val="auto"/>
        </w:rPr>
      </w:pPr>
    </w:p>
    <w:p>
      <w:pPr>
        <w:ind w:left="160" w:right="239" w:firstLine="784"/>
        <w:spacing w:after="0" w:line="257" w:lineRule="auto"/>
        <w:tabs>
          <w:tab w:leader="none" w:pos="1134" w:val="left"/>
        </w:tabs>
        <w:numPr>
          <w:ilvl w:val="0"/>
          <w:numId w:val="10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U.S. Legal Tender is the sole currency of account and payment for all sums payable by the Company under or in connection with the Securities or this Indenture, including damages. Any amount received or recovered in currency other than U.S. Legal Tender in respect of the Securities (whether as a result of, or of the enforcement of, a judgment or order of a court of any jurisdiction, in the winding-up or dissolution of the Company or otherwise) by any Holder in respect of any sum expressed to be due to such Holder from the Company shall only constitute a discharge of them under the Securities and this Indenture only to the extent of the U.S. Legal Tender amount which the recipient is able to purchase with the amount so received or recovered in that other currency on the date of that receipt or recovery (or, if it is not practicable to make that purchase on that date, on the first date on which it is practicable to do so). If that U.S. Legal Tender amount is less than the U.S. Legal Tender amount expressed to be due to the recipient under the Securities or this Indenture, the Company shall indemnify and hold harmless the recipient, to the greatest extent permitted by law, against any loss or cost sustained by it in making any such purchase. For the purposes of this Section 16.12, it will be sufficient for the Holder to certify that it would have suffered a loss had an actual purchase of U.S. Legal Tender been made with the amount so received in that other currency on the date of receipt or recovery (or, if a purchase of U.S. Legal Tender on such date had not been practicable, on the first date on which it would have been practicable).</w:t>
      </w: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74</w:t>
      </w:r>
    </w:p>
    <w:p>
      <w:pPr>
        <w:sectPr>
          <w:pgSz w:w="11900" w:h="16838" w:orient="portrait"/>
          <w:cols w:equalWidth="0" w:num="1">
            <w:col w:w="9019"/>
          </w:cols>
          <w:pgMar w:left="1440" w:top="242" w:right="1440" w:bottom="1440" w:gutter="0" w:footer="0" w:header="0"/>
        </w:sectPr>
      </w:pPr>
    </w:p>
    <w:bookmarkStart w:id="108" w:name="page109"/>
    <w:bookmarkEnd w:id="108"/>
    <w:p>
      <w:pPr>
        <w:jc w:val="both"/>
        <w:ind w:left="160" w:right="339" w:firstLine="784"/>
        <w:spacing w:after="0" w:line="262" w:lineRule="auto"/>
        <w:tabs>
          <w:tab w:leader="none" w:pos="1142" w:val="left"/>
        </w:tabs>
        <w:numPr>
          <w:ilvl w:val="0"/>
          <w:numId w:val="10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41">
                      <a:extLst>
                        <a:ext uri="{28A0092B-C50C-407E-A947-70E740481C1C}"/>
                      </a:extLst>
                    </a:blip>
                    <a:srcRect/>
                    <a:stretch>
                      <a:fillRect/>
                    </a:stretch>
                  </pic:blipFill>
                  <pic:spPr bwMode="auto">
                    <a:xfrm>
                      <a:off x="0" y="0"/>
                      <a:ext cx="7200265" cy="33020"/>
                    </a:xfrm>
                    <a:prstGeom prst="rect">
                      <a:avLst/>
                    </a:prstGeom>
                    <a:noFill/>
                  </pic:spPr>
                </pic:pic>
              </a:graphicData>
            </a:graphic>
          </wp:anchor>
        </w:drawing>
        <w:t>The indemnities of the Company contained in this Section 16.12, to the extent permitted by law: (i) constitute a separate and independent obligation from the other obligations of the Company under this Indenture and the Securities; (ii) shall give rise to a separate and independent cause of action against the Company; (iii) shall apply irrespective of any waiver granted by any Holder or the Trustee from time to time; and (iv) shall continue in full force and effect notwithstanding any other judgment, order, claim or proof of claim for a liquidated amount in respect of any sum due under the Securities or this Indenture or any other judgment or order.</w:t>
      </w:r>
    </w:p>
    <w:p>
      <w:pPr>
        <w:spacing w:after="0" w:line="143" w:lineRule="exact"/>
        <w:rPr>
          <w:sz w:val="20"/>
          <w:szCs w:val="20"/>
          <w:color w:val="auto"/>
        </w:rPr>
      </w:pPr>
    </w:p>
    <w:p>
      <w:pPr>
        <w:ind w:left="160" w:right="519" w:firstLine="347"/>
        <w:spacing w:after="0" w:line="260" w:lineRule="auto"/>
        <w:rPr>
          <w:sz w:val="20"/>
          <w:szCs w:val="20"/>
          <w:color w:val="auto"/>
        </w:rPr>
      </w:pPr>
      <w:r>
        <w:rPr>
          <w:rFonts w:ascii="Times New Roman" w:cs="Times New Roman" w:eastAsia="Times New Roman" w:hAnsi="Times New Roman"/>
          <w:sz w:val="14"/>
          <w:szCs w:val="14"/>
          <w:color w:val="auto"/>
        </w:rPr>
        <w:t xml:space="preserve">Section 16.13 </w:t>
      </w:r>
      <w:r>
        <w:rPr>
          <w:rFonts w:ascii="Times New Roman" w:cs="Times New Roman" w:eastAsia="Times New Roman" w:hAnsi="Times New Roman"/>
          <w:sz w:val="14"/>
          <w:szCs w:val="14"/>
          <w:u w:val="single" w:color="auto"/>
          <w:color w:val="auto"/>
        </w:rPr>
        <w:t>Electronic Signatures</w:t>
      </w:r>
      <w:r>
        <w:rPr>
          <w:rFonts w:ascii="Times New Roman" w:cs="Times New Roman" w:eastAsia="Times New Roman" w:hAnsi="Times New Roman"/>
          <w:sz w:val="14"/>
          <w:szCs w:val="14"/>
          <w:color w:val="auto"/>
        </w:rPr>
        <w:t>. This Indenture and any certificate, agreement or other document to be signed in connection with this Indenture and the transactions contemplated hereby shall be valid, binding and enforceable against a party only when executed and delivered by an authorized individual on behalf of the party by means of (i) an original manual signature, (ii) a faxed, scanned or photocopied manual signature or</w:t>
      </w:r>
    </w:p>
    <w:p>
      <w:pPr>
        <w:spacing w:after="0" w:line="2" w:lineRule="exact"/>
        <w:rPr>
          <w:sz w:val="20"/>
          <w:szCs w:val="20"/>
          <w:color w:val="auto"/>
        </w:rPr>
      </w:pPr>
    </w:p>
    <w:p>
      <w:pPr>
        <w:ind w:left="160" w:right="279" w:firstLine="3"/>
        <w:spacing w:after="0" w:line="255" w:lineRule="auto"/>
        <w:tabs>
          <w:tab w:leader="none" w:pos="408" w:val="left"/>
        </w:tabs>
        <w:numPr>
          <w:ilvl w:val="0"/>
          <w:numId w:val="10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the case of this Indenture and any certificate, agreement or other document to be signed in connection with this Indenture and the transactions contemplated hereby, other than any Security or Global Security, any electronic signature permitted by the federal Electronic Signatures in Global and National Commerce Act, state enactments of the Uniform Electronic Transactions Act, and/or any other relevant electronic signatures law, including relevant provisions of the Uniform Commercial Code (collectively, “Signature Law”). Each electronic signature (except in the case of any Security or Global Security) or faxed, scanned or photocopied manual signature shall for all purposes have the same validity, legal effect and admissibility in evidence as an original manual signature. Each party hereto shall be entitled to conclusively rely upon, and shall have no liability with respect to, any faxed, scanned or photocopied manual signature, or other electronic signature (except in the case of any Security or Global Security), of any party and shall have no duty to investigate, confirm or otherwise verify the validity or authenticity thereof. For avoidance of doubt, original manual signatures shall be used for execution or indorsement of writings when required under the Uniform Commercial Code or other Signature Law due to the character or intended character of the writings. Notwithstanding anything herein to the contrary, the Trustee is under no obligation to agree to accept electronic signatures in any form or in any format unless expressly agreed to by the Trustee pursuant to reasonable procedures approved by the Trustee.</w:t>
      </w:r>
    </w:p>
    <w:p>
      <w:pPr>
        <w:spacing w:after="0" w:line="147" w:lineRule="exact"/>
        <w:rPr>
          <w:sz w:val="20"/>
          <w:szCs w:val="20"/>
          <w:color w:val="auto"/>
        </w:rPr>
      </w:pPr>
    </w:p>
    <w:p>
      <w:pPr>
        <w:ind w:left="160" w:right="179" w:firstLine="347"/>
        <w:spacing w:after="0" w:line="259" w:lineRule="auto"/>
        <w:rPr>
          <w:sz w:val="20"/>
          <w:szCs w:val="20"/>
          <w:color w:val="auto"/>
        </w:rPr>
      </w:pPr>
      <w:r>
        <w:rPr>
          <w:rFonts w:ascii="Times New Roman" w:cs="Times New Roman" w:eastAsia="Times New Roman" w:hAnsi="Times New Roman"/>
          <w:sz w:val="14"/>
          <w:szCs w:val="14"/>
          <w:color w:val="auto"/>
        </w:rPr>
        <w:t xml:space="preserve">Section 16.14 </w:t>
      </w:r>
      <w:r>
        <w:rPr>
          <w:rFonts w:ascii="Times New Roman" w:cs="Times New Roman" w:eastAsia="Times New Roman" w:hAnsi="Times New Roman"/>
          <w:sz w:val="14"/>
          <w:szCs w:val="14"/>
          <w:u w:val="single" w:color="auto"/>
          <w:color w:val="auto"/>
        </w:rPr>
        <w:t>Electronic Means</w:t>
      </w:r>
      <w:r>
        <w:rPr>
          <w:rFonts w:ascii="Times New Roman" w:cs="Times New Roman" w:eastAsia="Times New Roman" w:hAnsi="Times New Roman"/>
          <w:sz w:val="14"/>
          <w:szCs w:val="14"/>
          <w:color w:val="auto"/>
        </w:rPr>
        <w:t>. The Trustee shall have the right to accept and act upon instructions (“Instructions”) given pursuant to this Indenture and delivered using Electronic Means; provided, however, that the Company shall provide to the Trustee an incumbency certificate listing officers with the authority to provide such Instructions (“Authorized Officers”) and containing specimen signatures of such Authorized Officers, which incumbency certificate shall be amended by the Company whenever a person is to be added or deleted from the listing. If the Company elects to give the Trustee Instructions using Electronic Means and the Trustee in its discretion elects to act upon such Instructions, the Trustee’s understanding of such Instructions shall be deemed controlling. The Company understands and agrees that the Trustee cannot determine the identity of the actual sender of such Instructions and that the Trustee shall conclusively presume that directions that purport to have been sent by an Authorized Officer</w:t>
      </w:r>
    </w:p>
    <w:p>
      <w:pPr>
        <w:spacing w:after="0" w:line="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75</w:t>
      </w:r>
    </w:p>
    <w:p>
      <w:pPr>
        <w:sectPr>
          <w:pgSz w:w="11900" w:h="16838" w:orient="portrait"/>
          <w:cols w:equalWidth="0" w:num="1">
            <w:col w:w="9019"/>
          </w:cols>
          <w:pgMar w:left="1440" w:top="242" w:right="1440" w:bottom="1440" w:gutter="0" w:footer="0" w:header="0"/>
        </w:sectPr>
      </w:pPr>
    </w:p>
    <w:bookmarkStart w:id="109" w:name="page110"/>
    <w:bookmarkEnd w:id="109"/>
    <w:p>
      <w:pPr>
        <w:ind w:left="160" w:right="259"/>
        <w:spacing w:after="0" w:line="257"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2">
                      <a:extLst>
                        <a:ext uri="{28A0092B-C50C-407E-A947-70E740481C1C}"/>
                      </a:extLst>
                    </a:blip>
                    <a:srcRect/>
                    <a:stretch>
                      <a:fillRect/>
                    </a:stretch>
                  </pic:blipFill>
                  <pic:spPr bwMode="auto">
                    <a:xfrm>
                      <a:off x="0" y="0"/>
                      <a:ext cx="7200265" cy="33020"/>
                    </a:xfrm>
                    <a:prstGeom prst="rect">
                      <a:avLst/>
                    </a:prstGeom>
                    <a:noFill/>
                  </pic:spPr>
                </pic:pic>
              </a:graphicData>
            </a:graphic>
          </wp:anchor>
        </w:drawing>
        <w:t>listed on the incumbency certificate provided to the Trustee have been sent by such Authorized Officer. The Company shall be responsible for ensuring that only Authorized Officers transmit such Instructions to the Trustee and that the Company and all Authorized Officers are solely responsible to safeguard the use and confidentiality of applicable user and authorization codes, passwords and/or authentication keys upon receipt by the Company. The Trustee shall not be liable for any losses, costs or expenses arising directly or indirectly from the Trustee’s reliance upon and compliance with such Instructions notwithstanding such directions conflict or are inconsistent with a subsequent written instruction. The Company agrees: (i) to assume all risks arising out of the use of Electronic Means to submit Instructions to the Trustee, including without limitation the risk of the Trustee acting on unauthorized Instructions, and the risk of interception and misuse by third parties; (ii) that it is fully informed of the protections and risks associated with the various methods of transmitting Instructions to the Trustee and that there may be more secure methods of transmitting Instructions than the method(s) selected by the Company; (iii) that the security procedures (if any) to be followed in connection with its transmission of Instructions provide to it a commercially reasonable degree of protection in light of its particular needs and circumstances; and (iv) to notify the Trustee immediately upon learning of any compromise or unauthorized use of the security procedures.</w:t>
      </w:r>
    </w:p>
    <w:p>
      <w:pPr>
        <w:spacing w:after="0" w:line="146" w:lineRule="exact"/>
        <w:rPr>
          <w:sz w:val="20"/>
          <w:szCs w:val="20"/>
          <w:color w:val="auto"/>
        </w:rPr>
      </w:pPr>
    </w:p>
    <w:p>
      <w:pPr>
        <w:ind w:left="160" w:right="199" w:firstLine="347"/>
        <w:spacing w:after="0" w:line="260" w:lineRule="auto"/>
        <w:rPr>
          <w:sz w:val="20"/>
          <w:szCs w:val="20"/>
          <w:color w:val="auto"/>
        </w:rPr>
      </w:pPr>
      <w:r>
        <w:rPr>
          <w:rFonts w:ascii="Times New Roman" w:cs="Times New Roman" w:eastAsia="Times New Roman" w:hAnsi="Times New Roman"/>
          <w:sz w:val="14"/>
          <w:szCs w:val="14"/>
          <w:color w:val="auto"/>
        </w:rPr>
        <w:t xml:space="preserve">Section 16.15 </w:t>
      </w:r>
      <w:r>
        <w:rPr>
          <w:rFonts w:ascii="Times New Roman" w:cs="Times New Roman" w:eastAsia="Times New Roman" w:hAnsi="Times New Roman"/>
          <w:sz w:val="14"/>
          <w:szCs w:val="14"/>
          <w:u w:val="single" w:color="auto"/>
          <w:color w:val="auto"/>
        </w:rPr>
        <w:t>Foreign Account Tax Compliance Act</w:t>
      </w:r>
      <w:r>
        <w:rPr>
          <w:rFonts w:ascii="Times New Roman" w:cs="Times New Roman" w:eastAsia="Times New Roman" w:hAnsi="Times New Roman"/>
          <w:sz w:val="14"/>
          <w:szCs w:val="14"/>
          <w:color w:val="auto"/>
        </w:rPr>
        <w:t>. In order to comply with applicable tax laws, rules and regulations (inclusive of directives, guidelines and interpretations promulgated by competent authorities) in effect from time to time (“Applicable Tax Law”), the Company agrees (i) to provide to the Trustee information available to the Company about Holders or other applicable parties and/or transactions (including any modification to the terms of such transactions) so the Trustee can determine whether it has tax related obligations under Applicable Tax Law and (ii) that the Trustee shall be entitled to make any withholding or deduction from payments under this Indenture to the extent necessary to comply with Applicable Tax Law for which the Trustee shall not have any liability. The terms of this Section 16.14 shall survive the termination of this Indenture.</w:t>
      </w:r>
    </w:p>
    <w:p>
      <w:pPr>
        <w:spacing w:after="0" w:line="1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[Signature pages follow]</w:t>
      </w:r>
    </w:p>
    <w:p>
      <w:pPr>
        <w:spacing w:after="0" w:line="1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76</w:t>
      </w:r>
    </w:p>
    <w:p>
      <w:pPr>
        <w:sectPr>
          <w:pgSz w:w="11900" w:h="16838" w:orient="portrait"/>
          <w:cols w:equalWidth="0" w:num="1">
            <w:col w:w="9019"/>
          </w:cols>
          <w:pgMar w:left="1440" w:top="242" w:right="1440" w:bottom="1440" w:gutter="0" w:footer="0" w:header="0"/>
        </w:sectPr>
      </w:pPr>
    </w:p>
    <w:bookmarkStart w:id="110" w:name="page111"/>
    <w:bookmarkEnd w:id="110"/>
    <w:p>
      <w:pPr>
        <w:ind w:left="520"/>
        <w:spacing w:after="0"/>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3">
                      <a:extLst>
                        <a:ext uri="{28A0092B-C50C-407E-A947-70E740481C1C}"/>
                      </a:extLst>
                    </a:blip>
                    <a:srcRect/>
                    <a:stretch>
                      <a:fillRect/>
                    </a:stretch>
                  </pic:blipFill>
                  <pic:spPr bwMode="auto">
                    <a:xfrm>
                      <a:off x="0" y="0"/>
                      <a:ext cx="7200265" cy="33020"/>
                    </a:xfrm>
                    <a:prstGeom prst="rect">
                      <a:avLst/>
                    </a:prstGeom>
                    <a:noFill/>
                  </pic:spPr>
                </pic:pic>
              </a:graphicData>
            </a:graphic>
          </wp:anchor>
        </w:drawing>
        <w:t>IN WITNESS WHEREOF, the parties have caused this Indenture to be duly executed as of the date first written above.</w:t>
      </w:r>
    </w:p>
    <w:p>
      <w:pPr>
        <w:spacing w:after="0" w:line="201"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4"/>
          <w:szCs w:val="14"/>
          <w:color w:val="auto"/>
        </w:rPr>
        <w:t>Cemex, S.A.B. de C.V.,</w:t>
      </w:r>
    </w:p>
    <w:p>
      <w:pPr>
        <w:spacing w:after="0" w:line="23"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4"/>
          <w:szCs w:val="14"/>
          <w:color w:val="auto"/>
        </w:rPr>
        <w:t>as Issuer</w:t>
      </w:r>
    </w:p>
    <w:p>
      <w:pPr>
        <w:spacing w:after="0" w:line="176"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4"/>
          <w:szCs w:val="14"/>
          <w:color w:val="auto"/>
        </w:rPr>
        <w:t>By:</w:t>
      </w:r>
    </w:p>
    <w:p>
      <w:pPr>
        <w:spacing w:after="0" w:line="23"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4"/>
          <w:szCs w:val="14"/>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3677285</wp:posOffset>
            </wp:positionH>
            <wp:positionV relativeFrom="paragraph">
              <wp:posOffset>-100965</wp:posOffset>
            </wp:positionV>
            <wp:extent cx="1939290" cy="698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4">
                      <a:extLst>
                        <a:ext uri="{28A0092B-C50C-407E-A947-70E740481C1C}"/>
                      </a:extLst>
                    </a:blip>
                    <a:srcRect/>
                    <a:stretch>
                      <a:fillRect/>
                    </a:stretch>
                  </pic:blipFill>
                  <pic:spPr bwMode="auto">
                    <a:xfrm>
                      <a:off x="0" y="0"/>
                      <a:ext cx="1939290" cy="6985"/>
                    </a:xfrm>
                    <a:prstGeom prst="rect">
                      <a:avLst/>
                    </a:prstGeom>
                    <a:noFill/>
                  </pic:spPr>
                </pic:pic>
              </a:graphicData>
            </a:graphic>
          </wp:anchor>
        </w:drawing>
      </w:r>
    </w:p>
    <w:p>
      <w:pPr>
        <w:ind w:left="5380"/>
        <w:spacing w:after="0"/>
        <w:rPr>
          <w:sz w:val="20"/>
          <w:szCs w:val="20"/>
          <w:color w:val="auto"/>
        </w:rPr>
      </w:pPr>
      <w:r>
        <w:rPr>
          <w:rFonts w:ascii="Times New Roman" w:cs="Times New Roman" w:eastAsia="Times New Roman" w:hAnsi="Times New Roman"/>
          <w:sz w:val="14"/>
          <w:szCs w:val="14"/>
          <w:color w:val="auto"/>
        </w:rPr>
        <w:t>Title:</w:t>
      </w:r>
    </w:p>
    <w:p>
      <w:pPr>
        <w:spacing w:after="0" w:line="176"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4"/>
          <w:szCs w:val="14"/>
          <w:color w:val="auto"/>
        </w:rPr>
        <w:t>The Bank of New York Mellon,</w:t>
      </w:r>
    </w:p>
    <w:p>
      <w:pPr>
        <w:spacing w:after="0" w:line="23"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4"/>
          <w:szCs w:val="14"/>
          <w:color w:val="auto"/>
        </w:rPr>
        <w:t>as Trustee</w:t>
      </w:r>
    </w:p>
    <w:p>
      <w:pPr>
        <w:spacing w:after="0" w:line="176"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4"/>
          <w:szCs w:val="14"/>
          <w:color w:val="auto"/>
        </w:rPr>
        <w:t>By:</w:t>
      </w:r>
    </w:p>
    <w:p>
      <w:pPr>
        <w:spacing w:after="0" w:line="23"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4"/>
          <w:szCs w:val="14"/>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3677285</wp:posOffset>
            </wp:positionH>
            <wp:positionV relativeFrom="paragraph">
              <wp:posOffset>-100965</wp:posOffset>
            </wp:positionV>
            <wp:extent cx="1939290" cy="698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5">
                      <a:extLst>
                        <a:ext uri="{28A0092B-C50C-407E-A947-70E740481C1C}"/>
                      </a:extLst>
                    </a:blip>
                    <a:srcRect/>
                    <a:stretch>
                      <a:fillRect/>
                    </a:stretch>
                  </pic:blipFill>
                  <pic:spPr bwMode="auto">
                    <a:xfrm>
                      <a:off x="0" y="0"/>
                      <a:ext cx="1939290" cy="6985"/>
                    </a:xfrm>
                    <a:prstGeom prst="rect">
                      <a:avLst/>
                    </a:prstGeom>
                    <a:noFill/>
                  </pic:spPr>
                </pic:pic>
              </a:graphicData>
            </a:graphic>
          </wp:anchor>
        </w:drawing>
      </w:r>
    </w:p>
    <w:p>
      <w:pPr>
        <w:ind w:left="5380"/>
        <w:spacing w:after="0"/>
        <w:rPr>
          <w:sz w:val="20"/>
          <w:szCs w:val="20"/>
          <w:color w:val="auto"/>
        </w:rPr>
      </w:pPr>
      <w:r>
        <w:rPr>
          <w:rFonts w:ascii="Times New Roman" w:cs="Times New Roman" w:eastAsia="Times New Roman" w:hAnsi="Times New Roman"/>
          <w:sz w:val="14"/>
          <w:szCs w:val="14"/>
          <w:color w:val="auto"/>
        </w:rPr>
        <w:t>Title:</w:t>
      </w:r>
    </w:p>
    <w:p>
      <w:pPr>
        <w:sectPr>
          <w:pgSz w:w="11900" w:h="16838" w:orient="portrait"/>
          <w:cols w:equalWidth="0" w:num="1">
            <w:col w:w="9019"/>
          </w:cols>
          <w:pgMar w:left="1440" w:top="242" w:right="1440" w:bottom="1440" w:gutter="0" w:footer="0" w:header="0"/>
        </w:sectPr>
      </w:pPr>
    </w:p>
    <w:bookmarkStart w:id="111" w:name="page112"/>
    <w:bookmarkEnd w:id="111"/>
    <w:p>
      <w:pPr>
        <w:jc w:val="right"/>
        <w:ind w:right="179"/>
        <w:spacing w:after="0"/>
        <w:rPr>
          <w:sz w:val="20"/>
          <w:szCs w:val="20"/>
          <w:color w:val="auto"/>
        </w:rPr>
      </w:pPr>
      <w:r>
        <w:rPr>
          <w:rFonts w:ascii="Times New Roman" w:cs="Times New Roman" w:eastAsia="Times New Roman" w:hAnsi="Times New Roman"/>
          <w:sz w:val="14"/>
          <w:szCs w:val="14"/>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103505</wp:posOffset>
            </wp:positionH>
            <wp:positionV relativeFrom="paragraph">
              <wp:posOffset>198755</wp:posOffset>
            </wp:positionV>
            <wp:extent cx="1391920" cy="2501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6">
                      <a:extLst>
                        <a:ext uri="{28A0092B-C50C-407E-A947-70E740481C1C}"/>
                      </a:extLst>
                    </a:blip>
                    <a:srcRect/>
                    <a:stretch>
                      <a:fillRect/>
                    </a:stretch>
                  </pic:blipFill>
                  <pic:spPr bwMode="auto">
                    <a:xfrm>
                      <a:off x="0" y="0"/>
                      <a:ext cx="1391920" cy="2501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right"/>
        <w:ind w:right="179"/>
        <w:spacing w:after="0"/>
        <w:rPr>
          <w:sz w:val="20"/>
          <w:szCs w:val="20"/>
          <w:color w:val="auto"/>
        </w:rPr>
      </w:pPr>
      <w:r>
        <w:rPr>
          <w:rFonts w:ascii="Times New Roman" w:cs="Times New Roman" w:eastAsia="Times New Roman" w:hAnsi="Times New Roman"/>
          <w:sz w:val="14"/>
          <w:szCs w:val="14"/>
          <w:color w:val="auto"/>
        </w:rPr>
        <w:t>June 1, 2026</w:t>
      </w:r>
    </w:p>
    <w:p>
      <w:pPr>
        <w:spacing w:after="0" w:line="20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4"/>
          <w:szCs w:val="14"/>
          <w:color w:val="auto"/>
        </w:rPr>
        <w:t>Cemex, S.A.B. de C.V.</w:t>
      </w:r>
    </w:p>
    <w:p>
      <w:pPr>
        <w:spacing w:after="0" w:line="2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4"/>
          <w:szCs w:val="14"/>
          <w:color w:val="auto"/>
        </w:rPr>
        <w:t>Avenida Ricardo Margáin Zozaya #325, Colonia Valle del Campestre,</w:t>
      </w:r>
    </w:p>
    <w:p>
      <w:pPr>
        <w:spacing w:after="0" w:line="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4"/>
          <w:szCs w:val="14"/>
          <w:color w:val="auto"/>
        </w:rPr>
        <w:t>San Pedro Garza García, Nuevo León 66265, Mexico</w:t>
      </w:r>
    </w:p>
    <w:p>
      <w:pPr>
        <w:spacing w:after="0" w:line="102" w:lineRule="exact"/>
        <w:rPr>
          <w:sz w:val="20"/>
          <w:szCs w:val="20"/>
          <w:color w:val="auto"/>
        </w:rPr>
      </w:pPr>
    </w:p>
    <w:p>
      <w:pPr>
        <w:ind w:left="160"/>
        <w:spacing w:after="0"/>
        <w:tabs>
          <w:tab w:leader="none" w:pos="480" w:val="left"/>
        </w:tabs>
        <w:rPr>
          <w:sz w:val="20"/>
          <w:szCs w:val="20"/>
          <w:color w:val="auto"/>
        </w:rPr>
      </w:pPr>
      <w:r>
        <w:rPr>
          <w:rFonts w:ascii="Times New Roman" w:cs="Times New Roman" w:eastAsia="Times New Roman" w:hAnsi="Times New Roman"/>
          <w:sz w:val="14"/>
          <w:szCs w:val="14"/>
          <w:color w:val="auto"/>
        </w:rPr>
        <w:t>Re:</w:t>
      </w:r>
      <w:r>
        <w:rPr>
          <w:sz w:val="20"/>
          <w:szCs w:val="20"/>
          <w:color w:val="auto"/>
        </w:rPr>
        <w:tab/>
      </w:r>
      <w:r>
        <w:rPr>
          <w:rFonts w:ascii="Times New Roman" w:cs="Times New Roman" w:eastAsia="Times New Roman" w:hAnsi="Times New Roman"/>
          <w:sz w:val="14"/>
          <w:szCs w:val="14"/>
          <w:u w:val="single" w:color="auto"/>
          <w:color w:val="auto"/>
        </w:rPr>
        <w:t>Registration Statement on Form F-3</w:t>
      </w:r>
    </w:p>
    <w:p>
      <w:pPr>
        <w:spacing w:after="0" w:line="17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4"/>
          <w:szCs w:val="14"/>
          <w:color w:val="auto"/>
        </w:rPr>
        <w:t>Ladies and Gentlemen:</w:t>
      </w:r>
    </w:p>
    <w:p>
      <w:pPr>
        <w:spacing w:after="0" w:line="92" w:lineRule="exact"/>
        <w:rPr>
          <w:sz w:val="20"/>
          <w:szCs w:val="20"/>
          <w:color w:val="auto"/>
        </w:rPr>
      </w:pPr>
    </w:p>
    <w:p>
      <w:pPr>
        <w:ind w:left="160" w:right="219" w:firstLine="347"/>
        <w:spacing w:after="0" w:line="258" w:lineRule="auto"/>
        <w:rPr>
          <w:sz w:val="20"/>
          <w:szCs w:val="20"/>
          <w:color w:val="auto"/>
        </w:rPr>
      </w:pPr>
      <w:r>
        <w:rPr>
          <w:rFonts w:ascii="Times New Roman" w:cs="Times New Roman" w:eastAsia="Times New Roman" w:hAnsi="Times New Roman"/>
          <w:sz w:val="14"/>
          <w:szCs w:val="14"/>
          <w:color w:val="auto"/>
        </w:rPr>
        <w:t>I am the general counsel of Cemex, S.A.B. de C.V. (the “Company”), a publicly traded variable stock corporation (</w:t>
      </w:r>
      <w:r>
        <w:rPr>
          <w:rFonts w:ascii="Times New Roman" w:cs="Times New Roman" w:eastAsia="Times New Roman" w:hAnsi="Times New Roman"/>
          <w:sz w:val="14"/>
          <w:szCs w:val="14"/>
          <w:i w:val="1"/>
          <w:iCs w:val="1"/>
          <w:color w:val="auto"/>
        </w:rPr>
        <w:t>sociedad annima burstil de</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capital variable</w:t>
      </w:r>
      <w:r>
        <w:rPr>
          <w:rFonts w:ascii="Times New Roman" w:cs="Times New Roman" w:eastAsia="Times New Roman" w:hAnsi="Times New Roman"/>
          <w:sz w:val="14"/>
          <w:szCs w:val="14"/>
          <w:color w:val="auto"/>
        </w:rPr>
        <w:t>), organized under the laws of the United Mexican States (“Mexico”). I have assisted the Company in connection with the registration</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statement on Form F-3 (the “Registration Statement”) to be filed on the date hereof by the Company and Cemex Corp. (the “Guarantor”) with the Securities and Exchange Commission (the “Commission”) under the Securities Act of 1933 (the “Securities Act”). The Registration Statement relates to the issuance and sale by the Company from time to time, pursuant to Rule 415 of the General Rules and Regulations of the Commission promulgated under the Securities Act (the “Rules and Regulations”) of debt securities of the Company (the “Debt Securities”), which may be issued in one or more series under an indenture proposed to be entered into by the Company and The Bank of New York Mellon, as trustee, the form of which is filed as an exhibit to the Registration Statement. The Registration Statement also relates to the issuance and sale from time to time by the Guarantor of guarantees of the Debt Securities (“Guarantees”). The Debt Securities and the Guarantees are collectively referred to herein as the “Securities.”</w:t>
      </w:r>
    </w:p>
    <w:p>
      <w:pPr>
        <w:spacing w:after="0" w:line="14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This opinion letter is being furnished in accordance with the requirements of Item 601(b)(5) of Regulation S-K under the Securities Act.</w:t>
      </w:r>
    </w:p>
    <w:p>
      <w:pPr>
        <w:spacing w:after="0" w:line="17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In rendering the opinions stated herein, I have examined and relied upon the following:</w:t>
      </w:r>
    </w:p>
    <w:p>
      <w:pPr>
        <w:spacing w:after="0" w:line="103" w:lineRule="exact"/>
        <w:rPr>
          <w:sz w:val="20"/>
          <w:szCs w:val="20"/>
          <w:color w:val="auto"/>
        </w:rPr>
      </w:pPr>
    </w:p>
    <w:p>
      <w:pPr>
        <w:ind w:left="500" w:hanging="337"/>
        <w:spacing w:after="0"/>
        <w:tabs>
          <w:tab w:leader="none" w:pos="500" w:val="left"/>
        </w:tabs>
        <w:numPr>
          <w:ilvl w:val="0"/>
          <w:numId w:val="10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by-laws (</w:t>
      </w:r>
      <w:r>
        <w:rPr>
          <w:rFonts w:ascii="Times New Roman" w:cs="Times New Roman" w:eastAsia="Times New Roman" w:hAnsi="Times New Roman"/>
          <w:sz w:val="14"/>
          <w:szCs w:val="14"/>
          <w:i w:val="1"/>
          <w:iCs w:val="1"/>
          <w:color w:val="auto"/>
        </w:rPr>
        <w:t>estatutos sociales</w:t>
      </w:r>
      <w:r>
        <w:rPr>
          <w:rFonts w:ascii="Times New Roman" w:cs="Times New Roman" w:eastAsia="Times New Roman" w:hAnsi="Times New Roman"/>
          <w:sz w:val="14"/>
          <w:szCs w:val="14"/>
          <w:color w:val="auto"/>
        </w:rPr>
        <w:t>) of the Company;</w:t>
      </w:r>
    </w:p>
    <w:p>
      <w:pPr>
        <w:spacing w:after="0" w:line="107" w:lineRule="exact"/>
        <w:rPr>
          <w:rFonts w:ascii="Times New Roman" w:cs="Times New Roman" w:eastAsia="Times New Roman" w:hAnsi="Times New Roman"/>
          <w:sz w:val="14"/>
          <w:szCs w:val="14"/>
          <w:color w:val="auto"/>
        </w:rPr>
      </w:pPr>
    </w:p>
    <w:p>
      <w:pPr>
        <w:ind w:left="500" w:hanging="337"/>
        <w:spacing w:after="0"/>
        <w:tabs>
          <w:tab w:leader="none" w:pos="500" w:val="left"/>
        </w:tabs>
        <w:numPr>
          <w:ilvl w:val="0"/>
          <w:numId w:val="10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Registration Statement;</w:t>
      </w:r>
    </w:p>
    <w:p>
      <w:pPr>
        <w:spacing w:after="0" w:line="105" w:lineRule="exact"/>
        <w:rPr>
          <w:rFonts w:ascii="Times New Roman" w:cs="Times New Roman" w:eastAsia="Times New Roman" w:hAnsi="Times New Roman"/>
          <w:sz w:val="14"/>
          <w:szCs w:val="14"/>
          <w:color w:val="auto"/>
        </w:rPr>
      </w:pPr>
    </w:p>
    <w:p>
      <w:pPr>
        <w:ind w:left="500" w:hanging="337"/>
        <w:spacing w:after="0"/>
        <w:tabs>
          <w:tab w:leader="none" w:pos="500" w:val="left"/>
        </w:tabs>
        <w:numPr>
          <w:ilvl w:val="0"/>
          <w:numId w:val="10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form of indenture (the “Indenture”) filed as an exhibit to the Registration Statement.</w:t>
      </w:r>
    </w:p>
    <w:p>
      <w:pPr>
        <w:spacing w:after="0" w:line="179" w:lineRule="exact"/>
        <w:rPr>
          <w:sz w:val="20"/>
          <w:szCs w:val="20"/>
          <w:color w:val="auto"/>
        </w:rPr>
      </w:pPr>
    </w:p>
    <w:p>
      <w:pPr>
        <w:ind w:left="160" w:right="259" w:firstLine="347"/>
        <w:spacing w:after="0" w:line="271" w:lineRule="auto"/>
        <w:rPr>
          <w:sz w:val="20"/>
          <w:szCs w:val="20"/>
          <w:color w:val="auto"/>
        </w:rPr>
      </w:pPr>
      <w:r>
        <w:rPr>
          <w:rFonts w:ascii="Times New Roman" w:cs="Times New Roman" w:eastAsia="Times New Roman" w:hAnsi="Times New Roman"/>
          <w:sz w:val="14"/>
          <w:szCs w:val="14"/>
          <w:color w:val="auto"/>
        </w:rPr>
        <w:t>In addition, I have reviewed the originals or copies certified or otherwise identified to my satisfaction of all such corporate records of the Company and its Mexican subsidiaries and such other instruments and other certificates of public officials, officers and representatives of the Company and such other persons, and I have made such investigations of law, as I have deemed appropriate as a basis for the opinions expressed below.</w:t>
      </w:r>
    </w:p>
    <w:p>
      <w:pPr>
        <w:sectPr>
          <w:pgSz w:w="11900" w:h="16838" w:orient="portrait"/>
          <w:cols w:equalWidth="0" w:num="1">
            <w:col w:w="9019"/>
          </w:cols>
          <w:pgMar w:left="1440" w:top="123" w:right="1440" w:bottom="1440" w:gutter="0" w:footer="0" w:header="0"/>
        </w:sectPr>
      </w:pPr>
    </w:p>
    <w:bookmarkStart w:id="112" w:name="page113"/>
    <w:bookmarkEnd w:id="112"/>
    <w:p>
      <w:pPr>
        <w:ind w:left="160" w:right="219" w:firstLine="347"/>
        <w:spacing w:after="0" w:line="259"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7">
                      <a:extLst>
                        <a:ext uri="{28A0092B-C50C-407E-A947-70E740481C1C}"/>
                      </a:extLst>
                    </a:blip>
                    <a:srcRect/>
                    <a:stretch>
                      <a:fillRect/>
                    </a:stretch>
                  </pic:blipFill>
                  <pic:spPr bwMode="auto">
                    <a:xfrm>
                      <a:off x="0" y="0"/>
                      <a:ext cx="7200265" cy="33020"/>
                    </a:xfrm>
                    <a:prstGeom prst="rect">
                      <a:avLst/>
                    </a:prstGeom>
                    <a:noFill/>
                  </pic:spPr>
                </pic:pic>
              </a:graphicData>
            </a:graphic>
          </wp:anchor>
        </w:drawing>
        <w:t>In rendering the opinions expressed below, I have assumed, without any independent investigation or verification of any kind, (i) the accuracy as to factual matters of each document I have reviewed, (ii) the due authorization, execution and delivery by any party thereto (other than the Company) of the Indenture; (iii) the validity, binding effect and enforceability of the Indenture and the Securities under the laws of the State of New York in the United States of America; (iv) that the Debt Securities will be duly authenticated in accordance with the terms of the Indenture; (v) the genuineness and authenticity of all signatures, opinions, documents and papers submitted to me; (vi) that copies of all opinions, documents and papers submitted to me are complete and conform to the originals thereof, and the authenticity of the originals of such copies; and (vi) the legal capacity and competency of all natural persons that executed the documents I have reviewed.</w:t>
      </w:r>
    </w:p>
    <w:p>
      <w:pPr>
        <w:spacing w:after="0" w:line="146" w:lineRule="exact"/>
        <w:rPr>
          <w:sz w:val="20"/>
          <w:szCs w:val="20"/>
          <w:color w:val="auto"/>
        </w:rPr>
      </w:pPr>
    </w:p>
    <w:p>
      <w:pPr>
        <w:ind w:left="160" w:right="299" w:firstLine="347"/>
        <w:spacing w:after="0" w:line="271" w:lineRule="auto"/>
        <w:rPr>
          <w:sz w:val="20"/>
          <w:szCs w:val="20"/>
          <w:color w:val="auto"/>
        </w:rPr>
      </w:pPr>
      <w:r>
        <w:rPr>
          <w:rFonts w:ascii="Times New Roman" w:cs="Times New Roman" w:eastAsia="Times New Roman" w:hAnsi="Times New Roman"/>
          <w:sz w:val="14"/>
          <w:szCs w:val="14"/>
          <w:color w:val="auto"/>
        </w:rPr>
        <w:t>In addition, I have assumed that the Company has satisfied the legal requirements that are applicable to them under applicable law other than the law of Mexico to the extent necessary to make the Indenture and the Debt Securities enforceable against it. I have also assumed that the Trustee has satisfied the legal requirements that are applicable to it under applicable law to the extent necessary to make the Indenture enforceable against it.</w:t>
      </w:r>
    </w:p>
    <w:p>
      <w:pPr>
        <w:spacing w:after="0" w:line="136" w:lineRule="exact"/>
        <w:rPr>
          <w:sz w:val="20"/>
          <w:szCs w:val="20"/>
          <w:color w:val="auto"/>
        </w:rPr>
      </w:pPr>
    </w:p>
    <w:p>
      <w:pPr>
        <w:ind w:left="160" w:right="359" w:firstLine="347"/>
        <w:spacing w:after="0" w:line="288" w:lineRule="auto"/>
        <w:rPr>
          <w:sz w:val="20"/>
          <w:szCs w:val="20"/>
          <w:color w:val="auto"/>
        </w:rPr>
      </w:pPr>
      <w:r>
        <w:rPr>
          <w:rFonts w:ascii="Times New Roman" w:cs="Times New Roman" w:eastAsia="Times New Roman" w:hAnsi="Times New Roman"/>
          <w:sz w:val="14"/>
          <w:szCs w:val="14"/>
          <w:color w:val="auto"/>
        </w:rPr>
        <w:t>Based on the foregoing, having regard for such other considerations as I deem relevant and subject to the further assumptions and qualifications set forth below, I am of the opinion that:</w:t>
      </w:r>
    </w:p>
    <w:p>
      <w:pPr>
        <w:spacing w:after="0" w:line="50" w:lineRule="exact"/>
        <w:rPr>
          <w:sz w:val="20"/>
          <w:szCs w:val="20"/>
          <w:color w:val="auto"/>
        </w:rPr>
      </w:pPr>
    </w:p>
    <w:p>
      <w:pPr>
        <w:ind w:left="920" w:hanging="416"/>
        <w:spacing w:after="0"/>
        <w:tabs>
          <w:tab w:leader="none" w:pos="920" w:val="left"/>
        </w:tabs>
        <w:numPr>
          <w:ilvl w:val="0"/>
          <w:numId w:val="10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has been duly incorporated and validly exists as a corporation under the laws of Mexico.</w:t>
      </w:r>
    </w:p>
    <w:p>
      <w:pPr>
        <w:spacing w:after="0" w:line="105" w:lineRule="exact"/>
        <w:rPr>
          <w:rFonts w:ascii="Times New Roman" w:cs="Times New Roman" w:eastAsia="Times New Roman" w:hAnsi="Times New Roman"/>
          <w:sz w:val="14"/>
          <w:szCs w:val="14"/>
          <w:color w:val="auto"/>
        </w:rPr>
      </w:pPr>
    </w:p>
    <w:p>
      <w:pPr>
        <w:ind w:left="920" w:right="459" w:hanging="416"/>
        <w:spacing w:after="0" w:line="288" w:lineRule="auto"/>
        <w:tabs>
          <w:tab w:leader="none" w:pos="920" w:val="left"/>
        </w:tabs>
        <w:numPr>
          <w:ilvl w:val="0"/>
          <w:numId w:val="10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has the corporate power to execute and deliver the Debt Securities and to consummate the issuance and sale of the Debt Securities contemplated under the Indenture under Mexican Law.</w:t>
      </w:r>
    </w:p>
    <w:p>
      <w:pPr>
        <w:spacing w:after="0" w:line="49" w:lineRule="exact"/>
        <w:rPr>
          <w:rFonts w:ascii="Times New Roman" w:cs="Times New Roman" w:eastAsia="Times New Roman" w:hAnsi="Times New Roman"/>
          <w:sz w:val="14"/>
          <w:szCs w:val="14"/>
          <w:color w:val="auto"/>
        </w:rPr>
      </w:pPr>
    </w:p>
    <w:p>
      <w:pPr>
        <w:ind w:left="920" w:right="339" w:hanging="416"/>
        <w:spacing w:after="0" w:line="271" w:lineRule="auto"/>
        <w:tabs>
          <w:tab w:leader="none" w:pos="920" w:val="left"/>
        </w:tabs>
        <w:numPr>
          <w:ilvl w:val="0"/>
          <w:numId w:val="10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Debt Securities to be issued under the Indenture, when issued and sold by the Company in the manner contemplated in the Registration Statement and upon due execution and delivery of the Debt Securities in accordance with the terms of the Indenture, will be the valid, binding and enforceable obligations of the Company, entitled to the benefits of the Indenture.</w:t>
      </w:r>
    </w:p>
    <w:p>
      <w:pPr>
        <w:spacing w:after="0" w:line="136" w:lineRule="exact"/>
        <w:rPr>
          <w:sz w:val="20"/>
          <w:szCs w:val="20"/>
          <w:color w:val="auto"/>
        </w:rPr>
      </w:pPr>
    </w:p>
    <w:p>
      <w:pPr>
        <w:ind w:left="160" w:right="219" w:firstLine="347"/>
        <w:spacing w:after="0" w:line="262" w:lineRule="auto"/>
        <w:rPr>
          <w:sz w:val="20"/>
          <w:szCs w:val="20"/>
          <w:color w:val="auto"/>
        </w:rPr>
      </w:pPr>
      <w:r>
        <w:rPr>
          <w:rFonts w:ascii="Times New Roman" w:cs="Times New Roman" w:eastAsia="Times New Roman" w:hAnsi="Times New Roman"/>
          <w:sz w:val="14"/>
          <w:szCs w:val="14"/>
          <w:color w:val="auto"/>
        </w:rPr>
        <w:t>Insofar as the foregoing opinions relate to the validity, binding effect or enforceability of any agreement or obligation of the Company, (a) I have assumed that the Company and each other party to such agreement or obligation has satisfied or, prior to the issuance of the Securities, will satisfy those legal requirements that are applicable to it to the extent necessary to make such agreement or obligation enforceable against it (except that no such assumption is made as to the Company regarding matters of federal law of Mexico), and (b) such opinions are subject to applicable bankruptcy, insolvency and similar laws affecting creditors’ rights generally.</w:t>
      </w:r>
    </w:p>
    <w:p>
      <w:pPr>
        <w:spacing w:after="0" w:line="143" w:lineRule="exact"/>
        <w:rPr>
          <w:sz w:val="20"/>
          <w:szCs w:val="20"/>
          <w:color w:val="auto"/>
        </w:rPr>
      </w:pPr>
    </w:p>
    <w:p>
      <w:pPr>
        <w:ind w:left="160" w:right="359" w:firstLine="347"/>
        <w:spacing w:after="0" w:line="259" w:lineRule="auto"/>
        <w:rPr>
          <w:sz w:val="20"/>
          <w:szCs w:val="20"/>
          <w:color w:val="auto"/>
        </w:rPr>
      </w:pPr>
      <w:r>
        <w:rPr>
          <w:rFonts w:ascii="Times New Roman" w:cs="Times New Roman" w:eastAsia="Times New Roman" w:hAnsi="Times New Roman"/>
          <w:sz w:val="14"/>
          <w:szCs w:val="14"/>
          <w:color w:val="auto"/>
        </w:rPr>
        <w:t>In rendering the opinions expressed above, I have further assumed that (i) a prospectus supplement and any term sheet will have been prepared and filed with the Commission describing the Securities offered thereby and will comply with all applicable laws, (ii) all Securities will be offered, issued, granted, sold and delivered in compliance with applicable law and any requirements therefor set forth in any corporate action authorizing such Securities and in the manner contemplated by the Registration Statement, the prospectus, the applicable prospectus supplement and any term sheet,</w:t>
      </w:r>
    </w:p>
    <w:p>
      <w:pPr>
        <w:ind w:left="160" w:right="219" w:firstLine="3"/>
        <w:spacing w:after="0" w:line="255" w:lineRule="auto"/>
        <w:tabs>
          <w:tab w:leader="none" w:pos="408" w:val="left"/>
        </w:tabs>
        <w:numPr>
          <w:ilvl w:val="0"/>
          <w:numId w:val="10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Registration Statement will be effective and will comply with all applicable laws at the time any Securities are offered, issued, granted, sold or delivered as contemplated by the Registration Statement, the prospectus, the applicable prospectus supplement and any term sheet, (iv) the terms of all Securities will conform to the forms thereof contained in the Indenture, and the terms of all Securities will not violate any applicable law, result in a default under or breach of any agreement or instrument binding upon the Company, as the case may be, or violate any requirement or restriction imposed by any court or governmental body having jurisdiction over the Company, as applicable, (v) the Securities will be offered, issued, granted, sold and delivered to, and paid for by, the purchasers thereof at the price specified in, and in accordance with the terms of, an agreement or agreements duly authorized, executed and delivered by the parties thereto, (vi) the Company will duly authorize the offering and issuance of the Debt Securities and will duly authorize, approve and establish the final terms and conditions of the offering and issuance or grant of the Debt Securities, (vii) the Company has duly authorized, executed and</w:t>
      </w:r>
    </w:p>
    <w:p>
      <w:pPr>
        <w:sectPr>
          <w:pgSz w:w="11900" w:h="16838" w:orient="portrait"/>
          <w:cols w:equalWidth="0" w:num="1">
            <w:col w:w="9019"/>
          </w:cols>
          <w:pgMar w:left="1440" w:top="242" w:right="1440" w:bottom="1440" w:gutter="0" w:footer="0" w:header="0"/>
        </w:sectPr>
      </w:pPr>
    </w:p>
    <w:bookmarkStart w:id="113" w:name="page114"/>
    <w:bookmarkEnd w:id="113"/>
    <w:p>
      <w:pPr>
        <w:ind w:left="160" w:right="179"/>
        <w:spacing w:after="0" w:line="262"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8">
                      <a:extLst>
                        <a:ext uri="{28A0092B-C50C-407E-A947-70E740481C1C}"/>
                      </a:extLst>
                    </a:blip>
                    <a:srcRect/>
                    <a:stretch>
                      <a:fillRect/>
                    </a:stretch>
                  </pic:blipFill>
                  <pic:spPr bwMode="auto">
                    <a:xfrm>
                      <a:off x="0" y="0"/>
                      <a:ext cx="7200265" cy="33020"/>
                    </a:xfrm>
                    <a:prstGeom prst="rect">
                      <a:avLst/>
                    </a:prstGeom>
                    <a:noFill/>
                  </pic:spPr>
                </pic:pic>
              </a:graphicData>
            </a:graphic>
          </wp:anchor>
        </w:drawing>
        <w:t>delivered, or will duly authorize, execute and deliver, as applicable, the Indenture, the supplemental indenture and any other agreement necessary with respect to the Debt Securities or contemplated by such Debt Securities and will take any other appropriate additional corporate action, and (viii) if issued in certificated form, the certificates representing the Debt Securities will be duly executed and delivered and, to the extent required by any applicable agreement, duly authenticated and countersigned and if issued in book entry form, the Debt Securities will be duly registered to the extent required by any applicable agreement.</w:t>
      </w:r>
    </w:p>
    <w:p>
      <w:pPr>
        <w:spacing w:after="0" w:line="14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This opinion is subject to the following qualifications:</w:t>
      </w:r>
    </w:p>
    <w:p>
      <w:pPr>
        <w:spacing w:after="0" w:line="105" w:lineRule="exact"/>
        <w:rPr>
          <w:sz w:val="20"/>
          <w:szCs w:val="20"/>
          <w:color w:val="auto"/>
        </w:rPr>
      </w:pPr>
    </w:p>
    <w:p>
      <w:pPr>
        <w:ind w:left="920" w:hanging="416"/>
        <w:spacing w:after="0"/>
        <w:tabs>
          <w:tab w:leader="none" w:pos="920" w:val="left"/>
        </w:tabs>
        <w:numPr>
          <w:ilvl w:val="0"/>
          <w:numId w:val="10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 treaty exists between the United States and Mexico for the reciprocal enforcement of judgments issued in each country;</w:t>
      </w:r>
    </w:p>
    <w:p>
      <w:pPr>
        <w:spacing w:after="0" w:line="102" w:lineRule="exact"/>
        <w:rPr>
          <w:rFonts w:ascii="Times New Roman" w:cs="Times New Roman" w:eastAsia="Times New Roman" w:hAnsi="Times New Roman"/>
          <w:sz w:val="14"/>
          <w:szCs w:val="14"/>
          <w:color w:val="auto"/>
        </w:rPr>
      </w:pPr>
    </w:p>
    <w:p>
      <w:pPr>
        <w:ind w:left="920" w:right="199" w:hanging="416"/>
        <w:spacing w:after="0" w:line="257" w:lineRule="auto"/>
        <w:tabs>
          <w:tab w:leader="none" w:pos="920" w:val="left"/>
        </w:tabs>
        <w:numPr>
          <w:ilvl w:val="0"/>
          <w:numId w:val="10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enforcement may be limited or affected by </w:t>
      </w:r>
      <w:r>
        <w:rPr>
          <w:rFonts w:ascii="Times New Roman" w:cs="Times New Roman" w:eastAsia="Times New Roman" w:hAnsi="Times New Roman"/>
          <w:sz w:val="14"/>
          <w:szCs w:val="14"/>
          <w:i w:val="1"/>
          <w:iCs w:val="1"/>
          <w:color w:val="auto"/>
        </w:rPr>
        <w:t>concurso mercantil</w:t>
      </w:r>
      <w:r>
        <w:rPr>
          <w:rFonts w:ascii="Times New Roman" w:cs="Times New Roman" w:eastAsia="Times New Roman" w:hAnsi="Times New Roman"/>
          <w:sz w:val="14"/>
          <w:szCs w:val="14"/>
          <w:color w:val="auto"/>
        </w:rPr>
        <w:t xml:space="preserve">, bankruptcy, insolvency, liquidation, reorganization, moratorium, fraudulent conveyance and other similar laws and governmental orders of general application relating to or affecting the rights of creditors generally; among other things, (i) interest on principal will not accrue after declaration of concurso mercantil, (ii) the obligations of the Company in foreign currency shall be converted into Mexican currency at the rate of exchange published in the </w:t>
      </w:r>
      <w:r>
        <w:rPr>
          <w:rFonts w:ascii="Times New Roman" w:cs="Times New Roman" w:eastAsia="Times New Roman" w:hAnsi="Times New Roman"/>
          <w:sz w:val="14"/>
          <w:szCs w:val="14"/>
          <w:i w:val="1"/>
          <w:iCs w:val="1"/>
          <w:color w:val="auto"/>
        </w:rPr>
        <w:t>Diario Oficial de la Federación</w:t>
      </w:r>
      <w:r>
        <w:rPr>
          <w:rFonts w:ascii="Times New Roman" w:cs="Times New Roman" w:eastAsia="Times New Roman" w:hAnsi="Times New Roman"/>
          <w:sz w:val="14"/>
          <w:szCs w:val="14"/>
          <w:color w:val="auto"/>
        </w:rPr>
        <w:t xml:space="preserve"> (Official Daily Gazette of the Federation) by </w:t>
      </w:r>
      <w:r>
        <w:rPr>
          <w:rFonts w:ascii="Times New Roman" w:cs="Times New Roman" w:eastAsia="Times New Roman" w:hAnsi="Times New Roman"/>
          <w:sz w:val="14"/>
          <w:szCs w:val="14"/>
          <w:i w:val="1"/>
          <w:iCs w:val="1"/>
          <w:color w:val="auto"/>
        </w:rPr>
        <w:t>Banco de México</w:t>
      </w:r>
      <w:r>
        <w:rPr>
          <w:rFonts w:ascii="Times New Roman" w:cs="Times New Roman" w:eastAsia="Times New Roman" w:hAnsi="Times New Roman"/>
          <w:sz w:val="14"/>
          <w:szCs w:val="14"/>
          <w:color w:val="auto"/>
        </w:rPr>
        <w:t xml:space="preserve"> (the Central Bank of Mexico) in force on the date the declaration of concurso mercantil is made, and (iii) such Mexican currency obligations shall then be converted into “</w:t>
      </w:r>
      <w:r>
        <w:rPr>
          <w:rFonts w:ascii="Times New Roman" w:cs="Times New Roman" w:eastAsia="Times New Roman" w:hAnsi="Times New Roman"/>
          <w:sz w:val="14"/>
          <w:szCs w:val="14"/>
          <w:i w:val="1"/>
          <w:iCs w:val="1"/>
          <w:color w:val="auto"/>
        </w:rPr>
        <w:t>Unidades de Inversión</w:t>
      </w:r>
      <w:r>
        <w:rPr>
          <w:rFonts w:ascii="Times New Roman" w:cs="Times New Roman" w:eastAsia="Times New Roman" w:hAnsi="Times New Roman"/>
          <w:sz w:val="14"/>
          <w:szCs w:val="14"/>
          <w:color w:val="auto"/>
        </w:rPr>
        <w:t>” or “</w:t>
      </w:r>
      <w:r>
        <w:rPr>
          <w:rFonts w:ascii="Times New Roman" w:cs="Times New Roman" w:eastAsia="Times New Roman" w:hAnsi="Times New Roman"/>
          <w:sz w:val="14"/>
          <w:szCs w:val="14"/>
          <w:i w:val="1"/>
          <w:iCs w:val="1"/>
          <w:color w:val="auto"/>
        </w:rPr>
        <w:t>UDIS</w:t>
      </w:r>
      <w:r>
        <w:rPr>
          <w:rFonts w:ascii="Times New Roman" w:cs="Times New Roman" w:eastAsia="Times New Roman" w:hAnsi="Times New Roman"/>
          <w:sz w:val="14"/>
          <w:szCs w:val="14"/>
          <w:color w:val="auto"/>
        </w:rPr>
        <w:t xml:space="preserve">” (inflation indexed units) at the rate of conversion published by </w:t>
      </w:r>
      <w:r>
        <w:rPr>
          <w:rFonts w:ascii="Times New Roman" w:cs="Times New Roman" w:eastAsia="Times New Roman" w:hAnsi="Times New Roman"/>
          <w:sz w:val="14"/>
          <w:szCs w:val="14"/>
          <w:i w:val="1"/>
          <w:iCs w:val="1"/>
          <w:color w:val="auto"/>
        </w:rPr>
        <w:t>Banco de México</w:t>
      </w:r>
      <w:r>
        <w:rPr>
          <w:rFonts w:ascii="Times New Roman" w:cs="Times New Roman" w:eastAsia="Times New Roman" w:hAnsi="Times New Roman"/>
          <w:sz w:val="14"/>
          <w:szCs w:val="14"/>
          <w:color w:val="auto"/>
        </w:rPr>
        <w:t xml:space="preserve"> for such date. The Securities are unsecured and therefore will have the same ranking as other unsecured debt (“</w:t>
      </w:r>
      <w:r>
        <w:rPr>
          <w:rFonts w:ascii="Times New Roman" w:cs="Times New Roman" w:eastAsia="Times New Roman" w:hAnsi="Times New Roman"/>
          <w:sz w:val="14"/>
          <w:szCs w:val="14"/>
          <w:i w:val="1"/>
          <w:iCs w:val="1"/>
          <w:color w:val="auto"/>
        </w:rPr>
        <w:t>deuda quirografaria</w:t>
      </w:r>
      <w:r>
        <w:rPr>
          <w:rFonts w:ascii="Times New Roman" w:cs="Times New Roman" w:eastAsia="Times New Roman" w:hAnsi="Times New Roman"/>
          <w:sz w:val="14"/>
          <w:szCs w:val="14"/>
          <w:color w:val="auto"/>
        </w:rPr>
        <w:t>”) and no senior status is granted thereto under Mexican law. In addition, pursuant to the laws of Mexico, labor claims, claims of tax authorities for unpaid taxes, social security quotas, worker’s housing fund quotas, retirement fund quotas, as well as claims from secured or privileged creditors, will have priority over claims of the holders of the Securities;</w:t>
      </w:r>
    </w:p>
    <w:p>
      <w:pPr>
        <w:spacing w:after="0" w:line="74" w:lineRule="exact"/>
        <w:rPr>
          <w:rFonts w:ascii="Times New Roman" w:cs="Times New Roman" w:eastAsia="Times New Roman" w:hAnsi="Times New Roman"/>
          <w:sz w:val="14"/>
          <w:szCs w:val="14"/>
          <w:color w:val="auto"/>
        </w:rPr>
      </w:pPr>
    </w:p>
    <w:p>
      <w:pPr>
        <w:ind w:left="920" w:hanging="416"/>
        <w:spacing w:after="0"/>
        <w:tabs>
          <w:tab w:leader="none" w:pos="920" w:val="left"/>
        </w:tabs>
        <w:numPr>
          <w:ilvl w:val="0"/>
          <w:numId w:val="10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note that the payment of interest on interest may not be enforceable under Mexican law;</w:t>
      </w:r>
    </w:p>
    <w:p>
      <w:pPr>
        <w:spacing w:after="0" w:line="105" w:lineRule="exact"/>
        <w:rPr>
          <w:rFonts w:ascii="Times New Roman" w:cs="Times New Roman" w:eastAsia="Times New Roman" w:hAnsi="Times New Roman"/>
          <w:sz w:val="14"/>
          <w:szCs w:val="14"/>
          <w:color w:val="auto"/>
        </w:rPr>
      </w:pPr>
    </w:p>
    <w:p>
      <w:pPr>
        <w:ind w:left="920" w:hanging="416"/>
        <w:spacing w:after="0"/>
        <w:tabs>
          <w:tab w:leader="none" w:pos="920" w:val="left"/>
        </w:tabs>
        <w:numPr>
          <w:ilvl w:val="0"/>
          <w:numId w:val="10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judgment currency provisions (such as Section 16.12 of the Indenture) may not be enforceable in Mexico;</w:t>
      </w:r>
    </w:p>
    <w:p>
      <w:pPr>
        <w:spacing w:after="0" w:line="105" w:lineRule="exact"/>
        <w:rPr>
          <w:rFonts w:ascii="Times New Roman" w:cs="Times New Roman" w:eastAsia="Times New Roman" w:hAnsi="Times New Roman"/>
          <w:sz w:val="14"/>
          <w:szCs w:val="14"/>
          <w:color w:val="auto"/>
        </w:rPr>
      </w:pPr>
    </w:p>
    <w:p>
      <w:pPr>
        <w:jc w:val="both"/>
        <w:ind w:left="920" w:right="219" w:hanging="416"/>
        <w:spacing w:after="0" w:line="265" w:lineRule="auto"/>
        <w:tabs>
          <w:tab w:leader="none" w:pos="920" w:val="left"/>
        </w:tabs>
        <w:numPr>
          <w:ilvl w:val="0"/>
          <w:numId w:val="10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the event that proceedings are brought in Mexico seeking performance of the obligations of the Company in Mexico, pursuant to Article 8 of the Ley Monetaria de los Estados Unidos Mexicanos (Mexican Monetary Law), the Company may discharge its obligations by paying any sums due in a currency other than Mexican currency, in Mexican currency at the rate of exchange fixed by the Bank of Mexico for the date when payment is made;</w:t>
      </w:r>
    </w:p>
    <w:p>
      <w:pPr>
        <w:spacing w:after="0" w:line="65" w:lineRule="exact"/>
        <w:rPr>
          <w:rFonts w:ascii="Times New Roman" w:cs="Times New Roman" w:eastAsia="Times New Roman" w:hAnsi="Times New Roman"/>
          <w:sz w:val="14"/>
          <w:szCs w:val="14"/>
          <w:color w:val="auto"/>
        </w:rPr>
      </w:pPr>
    </w:p>
    <w:p>
      <w:pPr>
        <w:ind w:left="920" w:right="539" w:hanging="416"/>
        <w:spacing w:after="0" w:line="265" w:lineRule="auto"/>
        <w:tabs>
          <w:tab w:leader="none" w:pos="920" w:val="left"/>
        </w:tabs>
        <w:numPr>
          <w:ilvl w:val="0"/>
          <w:numId w:val="10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the event that any legal proceedings are brought in the courts of Mexico, a Spanish translation of the documents required in such proceedings, prepared by a court-approved translator, would have to be approved by the court after the defendant had been given an opportunity to be heard with respect to the accuracy of the translation, and proceedings would thereafter be based upon the translated documents;</w:t>
      </w:r>
    </w:p>
    <w:p>
      <w:pPr>
        <w:spacing w:after="0" w:line="65" w:lineRule="exact"/>
        <w:rPr>
          <w:rFonts w:ascii="Times New Roman" w:cs="Times New Roman" w:eastAsia="Times New Roman" w:hAnsi="Times New Roman"/>
          <w:sz w:val="14"/>
          <w:szCs w:val="14"/>
          <w:color w:val="auto"/>
        </w:rPr>
      </w:pPr>
    </w:p>
    <w:p>
      <w:pPr>
        <w:ind w:left="920" w:right="179" w:hanging="416"/>
        <w:spacing w:after="0" w:line="271" w:lineRule="auto"/>
        <w:tabs>
          <w:tab w:leader="none" w:pos="920" w:val="left"/>
        </w:tabs>
        <w:numPr>
          <w:ilvl w:val="0"/>
          <w:numId w:val="10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exercise of any prerogatives of the parties, although they may be discretionary, should be supported by the factual assumptions required for their reasonable exercise; in addition, under Mexican law, the Company will have the right to contest in court any notice or certificate of such party purporting to be conclusive and binding;</w:t>
      </w:r>
    </w:p>
    <w:p>
      <w:pPr>
        <w:spacing w:after="0" w:line="61" w:lineRule="exact"/>
        <w:rPr>
          <w:rFonts w:ascii="Times New Roman" w:cs="Times New Roman" w:eastAsia="Times New Roman" w:hAnsi="Times New Roman"/>
          <w:sz w:val="14"/>
          <w:szCs w:val="14"/>
          <w:color w:val="auto"/>
        </w:rPr>
      </w:pPr>
    </w:p>
    <w:p>
      <w:pPr>
        <w:ind w:left="920" w:right="539" w:hanging="416"/>
        <w:spacing w:after="0" w:line="288" w:lineRule="auto"/>
        <w:tabs>
          <w:tab w:leader="none" w:pos="920" w:val="left"/>
        </w:tabs>
        <w:numPr>
          <w:ilvl w:val="0"/>
          <w:numId w:val="10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claims may become barred under the statutes of limitation, the application of which is not waivable under Mexican law, or may be or become subject to defenses of set-off or counterclaim;</w:t>
      </w:r>
    </w:p>
    <w:p>
      <w:pPr>
        <w:sectPr>
          <w:pgSz w:w="11900" w:h="16838" w:orient="portrait"/>
          <w:cols w:equalWidth="0" w:num="1">
            <w:col w:w="9019"/>
          </w:cols>
          <w:pgMar w:left="1440" w:top="242" w:right="1440" w:bottom="1440" w:gutter="0" w:footer="0" w:header="0"/>
        </w:sectPr>
      </w:pPr>
    </w:p>
    <w:bookmarkStart w:id="114" w:name="page115"/>
    <w:bookmarkEnd w:id="114"/>
    <w:p>
      <w:pPr>
        <w:ind w:left="920" w:hanging="416"/>
        <w:spacing w:after="0"/>
        <w:tabs>
          <w:tab w:leader="none" w:pos="920" w:val="left"/>
        </w:tabs>
        <w:numPr>
          <w:ilvl w:val="0"/>
          <w:numId w:val="1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9">
                      <a:extLst>
                        <a:ext uri="{28A0092B-C50C-407E-A947-70E740481C1C}"/>
                      </a:extLst>
                    </a:blip>
                    <a:srcRect/>
                    <a:stretch>
                      <a:fillRect/>
                    </a:stretch>
                  </pic:blipFill>
                  <pic:spPr bwMode="auto">
                    <a:xfrm>
                      <a:off x="0" y="0"/>
                      <a:ext cx="7200265" cy="33020"/>
                    </a:xfrm>
                    <a:prstGeom prst="rect">
                      <a:avLst/>
                    </a:prstGeom>
                    <a:noFill/>
                  </pic:spPr>
                </pic:pic>
              </a:graphicData>
            </a:graphic>
          </wp:anchor>
        </w:drawing>
        <w:t>a Mexican court may stay proceedings held in such court if concurrent proceedings are being held elsewhere;</w:t>
      </w:r>
    </w:p>
    <w:p>
      <w:pPr>
        <w:spacing w:after="0" w:line="105" w:lineRule="exact"/>
        <w:rPr>
          <w:rFonts w:ascii="Times New Roman" w:cs="Times New Roman" w:eastAsia="Times New Roman" w:hAnsi="Times New Roman"/>
          <w:sz w:val="14"/>
          <w:szCs w:val="14"/>
          <w:color w:val="auto"/>
        </w:rPr>
      </w:pPr>
    </w:p>
    <w:p>
      <w:pPr>
        <w:ind w:left="920" w:right="199" w:hanging="416"/>
        <w:spacing w:after="0" w:line="265" w:lineRule="auto"/>
        <w:tabs>
          <w:tab w:leader="none" w:pos="920" w:val="left"/>
        </w:tabs>
        <w:numPr>
          <w:ilvl w:val="0"/>
          <w:numId w:val="1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to the provisions contained in the Indenture regarding service of process, it should be noted that service of process by mail does not constitute personal service under Mexican law and, since such service is considered to be a basic procedural requirement under such law, if for purposes of proceedings outside Mexico service of process is made by mail, a final judgment based on such service of process would not be enforced by the courts of Mexico;</w:t>
      </w:r>
    </w:p>
    <w:p>
      <w:pPr>
        <w:spacing w:after="0" w:line="65" w:lineRule="exact"/>
        <w:rPr>
          <w:rFonts w:ascii="Times New Roman" w:cs="Times New Roman" w:eastAsia="Times New Roman" w:hAnsi="Times New Roman"/>
          <w:sz w:val="14"/>
          <w:szCs w:val="14"/>
          <w:color w:val="auto"/>
        </w:rPr>
      </w:pPr>
    </w:p>
    <w:p>
      <w:pPr>
        <w:ind w:left="920" w:right="259" w:hanging="416"/>
        <w:spacing w:after="0" w:line="265" w:lineRule="auto"/>
        <w:tabs>
          <w:tab w:leader="none" w:pos="920" w:val="left"/>
        </w:tabs>
        <w:numPr>
          <w:ilvl w:val="0"/>
          <w:numId w:val="1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with respect to the provisions contained in the Indenture regarding service of process, I note that the irrevocability of the appointment of Cemex NY Corporation as the authorized agent for service of process of the Company may not be enforceable under Mexican law and, as a consequence, such appointment may be legally revoked, although any affected parties under the Indenture could bring any claim or remedies they may have available under the Indenture or applicable law as a result of such revocation;</w:t>
      </w:r>
    </w:p>
    <w:p>
      <w:pPr>
        <w:spacing w:after="0" w:line="65" w:lineRule="exact"/>
        <w:rPr>
          <w:rFonts w:ascii="Times New Roman" w:cs="Times New Roman" w:eastAsia="Times New Roman" w:hAnsi="Times New Roman"/>
          <w:sz w:val="14"/>
          <w:szCs w:val="14"/>
          <w:color w:val="auto"/>
        </w:rPr>
      </w:pPr>
    </w:p>
    <w:p>
      <w:pPr>
        <w:ind w:left="920" w:right="199" w:hanging="416"/>
        <w:spacing w:after="0" w:line="271" w:lineRule="auto"/>
        <w:tabs>
          <w:tab w:leader="none" w:pos="920" w:val="left"/>
        </w:tabs>
        <w:numPr>
          <w:ilvl w:val="0"/>
          <w:numId w:val="1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note that any covenants of the Company which purport to bind it on matters reserved by law to shareholders or owners of equity interests, or which purport to bind shareholders or owners of equity interests to vote or refrain from voting their shares or equity interests in the Company, as applicable, are not enforceable, under Mexican law, through specific performance;</w:t>
      </w:r>
    </w:p>
    <w:p>
      <w:pPr>
        <w:spacing w:after="0" w:line="61" w:lineRule="exact"/>
        <w:rPr>
          <w:rFonts w:ascii="Times New Roman" w:cs="Times New Roman" w:eastAsia="Times New Roman" w:hAnsi="Times New Roman"/>
          <w:sz w:val="14"/>
          <w:szCs w:val="14"/>
          <w:color w:val="auto"/>
        </w:rPr>
      </w:pPr>
    </w:p>
    <w:p>
      <w:pPr>
        <w:ind w:left="920" w:right="199" w:hanging="416"/>
        <w:spacing w:after="0" w:line="288" w:lineRule="auto"/>
        <w:tabs>
          <w:tab w:leader="none" w:pos="920" w:val="left"/>
        </w:tabs>
        <w:numPr>
          <w:ilvl w:val="0"/>
          <w:numId w:val="1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the event any legal proceedings are brought in the courts of Mexico to enforce a holder’s rights under the Securities or the Indenture, the Mexican courts would apply Mexican procedural law;</w:t>
      </w:r>
    </w:p>
    <w:p>
      <w:pPr>
        <w:spacing w:after="0" w:line="49" w:lineRule="exact"/>
        <w:rPr>
          <w:rFonts w:ascii="Times New Roman" w:cs="Times New Roman" w:eastAsia="Times New Roman" w:hAnsi="Times New Roman"/>
          <w:sz w:val="14"/>
          <w:szCs w:val="14"/>
          <w:color w:val="auto"/>
        </w:rPr>
      </w:pPr>
    </w:p>
    <w:p>
      <w:pPr>
        <w:ind w:left="920" w:right="459" w:hanging="416"/>
        <w:spacing w:after="0" w:line="288" w:lineRule="auto"/>
        <w:tabs>
          <w:tab w:leader="none" w:pos="920" w:val="left"/>
        </w:tabs>
        <w:numPr>
          <w:ilvl w:val="0"/>
          <w:numId w:val="1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express no opinion as to the enforceability in Mexican jurisdictions on judgments in actions predicated on civil liability provisions of U.S. federal securities laws;</w:t>
      </w:r>
    </w:p>
    <w:p>
      <w:pPr>
        <w:spacing w:after="0" w:line="49" w:lineRule="exact"/>
        <w:rPr>
          <w:rFonts w:ascii="Times New Roman" w:cs="Times New Roman" w:eastAsia="Times New Roman" w:hAnsi="Times New Roman"/>
          <w:sz w:val="14"/>
          <w:szCs w:val="14"/>
          <w:color w:val="auto"/>
        </w:rPr>
      </w:pPr>
    </w:p>
    <w:p>
      <w:pPr>
        <w:ind w:left="920" w:right="199" w:hanging="416"/>
        <w:spacing w:after="0" w:line="265" w:lineRule="auto"/>
        <w:tabs>
          <w:tab w:leader="none" w:pos="920" w:val="left"/>
        </w:tabs>
        <w:numPr>
          <w:ilvl w:val="0"/>
          <w:numId w:val="1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with respect to the provisions contained in the Indenture in connection with service of process, it should be noted that service of process by mail does not constitute personal service of process under Mexican law and, since such service is considered to be a basic procedural requirement, if for purposes of proceedings outside Mexico service of process is made by mail, a final judgment based on such process would not be enforced by the courts of Mexico; and</w:t>
      </w:r>
    </w:p>
    <w:p>
      <w:pPr>
        <w:spacing w:after="0" w:line="65" w:lineRule="exact"/>
        <w:rPr>
          <w:rFonts w:ascii="Times New Roman" w:cs="Times New Roman" w:eastAsia="Times New Roman" w:hAnsi="Times New Roman"/>
          <w:sz w:val="14"/>
          <w:szCs w:val="14"/>
          <w:color w:val="auto"/>
        </w:rPr>
      </w:pPr>
    </w:p>
    <w:p>
      <w:pPr>
        <w:ind w:left="920" w:right="319" w:hanging="416"/>
        <w:spacing w:after="0" w:line="288" w:lineRule="auto"/>
        <w:tabs>
          <w:tab w:leader="none" w:pos="920" w:val="left"/>
        </w:tabs>
        <w:numPr>
          <w:ilvl w:val="0"/>
          <w:numId w:val="1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except as specifically stated herein, I make no comment with regard to any representation which may be made by the Company in any of the documents referred to above or otherwise.</w:t>
      </w:r>
    </w:p>
    <w:p>
      <w:pPr>
        <w:spacing w:after="0" w:line="124" w:lineRule="exact"/>
        <w:rPr>
          <w:sz w:val="20"/>
          <w:szCs w:val="20"/>
          <w:color w:val="auto"/>
        </w:rPr>
      </w:pPr>
    </w:p>
    <w:p>
      <w:pPr>
        <w:ind w:left="160" w:right="239" w:firstLine="347"/>
        <w:spacing w:after="0" w:line="260" w:lineRule="auto"/>
        <w:rPr>
          <w:sz w:val="20"/>
          <w:szCs w:val="20"/>
          <w:color w:val="auto"/>
        </w:rPr>
      </w:pPr>
      <w:r>
        <w:rPr>
          <w:rFonts w:ascii="Times New Roman" w:cs="Times New Roman" w:eastAsia="Times New Roman" w:hAnsi="Times New Roman"/>
          <w:sz w:val="14"/>
          <w:szCs w:val="14"/>
          <w:color w:val="auto"/>
        </w:rPr>
        <w:t>I express no opinion as to the laws of any jurisdiction other than Mexico and I have assumed that there is nothing in any other law that affects my opinion, which is delivered, based upon Mexican law applicable on the date hereof. In particular, I have made no independent investigation of the laws of the United States of America or any state or other political subdivision thereof or therein as a basis for the opinions stated herein and do not express or imply any opinion on or based on such laws. To the extent that the federal laws of the United States of America and the State of New York are relevant to my opinion set forth above, I have, without making any independent investigation with respect thereto, assumed the accuracy of the opinion, dated today, of Skadden, Arps, Slate, Meagher &amp; Flom LLP, special United States counsel to the Company.</w:t>
      </w:r>
    </w:p>
    <w:p>
      <w:pPr>
        <w:spacing w:after="0" w:line="145" w:lineRule="exact"/>
        <w:rPr>
          <w:sz w:val="20"/>
          <w:szCs w:val="20"/>
          <w:color w:val="auto"/>
        </w:rPr>
      </w:pPr>
    </w:p>
    <w:p>
      <w:pPr>
        <w:jc w:val="both"/>
        <w:ind w:left="160" w:right="199" w:firstLine="347"/>
        <w:spacing w:after="0" w:line="271" w:lineRule="auto"/>
        <w:rPr>
          <w:sz w:val="20"/>
          <w:szCs w:val="20"/>
          <w:color w:val="auto"/>
        </w:rPr>
      </w:pPr>
      <w:r>
        <w:rPr>
          <w:rFonts w:ascii="Times New Roman" w:cs="Times New Roman" w:eastAsia="Times New Roman" w:hAnsi="Times New Roman"/>
          <w:sz w:val="14"/>
          <w:szCs w:val="14"/>
          <w:color w:val="auto"/>
        </w:rPr>
        <w:t>In rendering the foregoing opinion, I have relied (i) as to factual matters on certificates of directors, executive officers and certain other employees of the Company and (ii) as to matters of United States federal and New York law on the opinion of Skadden, Arps, Slate, Meagher &amp; Flom LLP, special United States counsel for the Company.</w:t>
      </w:r>
    </w:p>
    <w:p>
      <w:pPr>
        <w:sectPr>
          <w:pgSz w:w="11900" w:h="16838" w:orient="portrait"/>
          <w:cols w:equalWidth="0" w:num="1">
            <w:col w:w="9019"/>
          </w:cols>
          <w:pgMar w:left="1440" w:top="242" w:right="1440" w:bottom="1440" w:gutter="0" w:footer="0" w:header="0"/>
        </w:sectPr>
      </w:pPr>
    </w:p>
    <w:bookmarkStart w:id="115" w:name="page116"/>
    <w:bookmarkEnd w:id="115"/>
    <w:p>
      <w:pPr>
        <w:ind w:left="160" w:right="239" w:firstLine="347"/>
        <w:spacing w:after="0" w:line="261"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50">
                      <a:extLst>
                        <a:ext uri="{28A0092B-C50C-407E-A947-70E740481C1C}"/>
                      </a:extLst>
                    </a:blip>
                    <a:srcRect/>
                    <a:stretch>
                      <a:fillRect/>
                    </a:stretch>
                  </pic:blipFill>
                  <pic:spPr bwMode="auto">
                    <a:xfrm>
                      <a:off x="0" y="0"/>
                      <a:ext cx="7200265" cy="33020"/>
                    </a:xfrm>
                    <a:prstGeom prst="rect">
                      <a:avLst/>
                    </a:prstGeom>
                    <a:noFill/>
                  </pic:spPr>
                </pic:pic>
              </a:graphicData>
            </a:graphic>
          </wp:anchor>
        </w:drawing>
        <w:t>I hereby consent to the filing of this opinion as an exhibit to the Registration Statement and to the reference to me in the prospectus constituting a part of the Registration Statement under the heading “Legal Matters” and in any prospectus supplement related thereto as counsel for the Company who have passed on the validity of the Debt Securities being registered by the Registration Statement. In giving such consent, I do not thereby admit that I am an expert with respect to any part of the Registration Statement, including this exhibit, within the meaning of the term “expert” as used in the Securities Act or the Rules and Regulations. Skadden, Arps, Slate, Meagher &amp; Flom LLP may rely upon this opinion in rendering their opinion to the Company.</w:t>
      </w:r>
    </w:p>
    <w:p>
      <w:pPr>
        <w:spacing w:after="0" w:line="316" w:lineRule="exact"/>
        <w:rPr>
          <w:sz w:val="20"/>
          <w:szCs w:val="20"/>
          <w:color w:val="auto"/>
        </w:rPr>
      </w:pPr>
    </w:p>
    <w:p>
      <w:pPr>
        <w:ind w:left="160" w:right="239" w:firstLine="347"/>
        <w:spacing w:after="0" w:line="271" w:lineRule="auto"/>
        <w:rPr>
          <w:sz w:val="20"/>
          <w:szCs w:val="20"/>
          <w:color w:val="auto"/>
        </w:rPr>
      </w:pPr>
      <w:r>
        <w:rPr>
          <w:rFonts w:ascii="Times New Roman" w:cs="Times New Roman" w:eastAsia="Times New Roman" w:hAnsi="Times New Roman"/>
          <w:sz w:val="14"/>
          <w:szCs w:val="14"/>
          <w:color w:val="auto"/>
        </w:rPr>
        <w:t>This opinion is being rendered based on the legal provisions applicable in Mexico as of the date hereof. I assume no obligation to supplement this opinion if any applicable law changes after the date hereof or if I become aware of any facts that might change the opinions expressed herein after the date hereof.</w:t>
      </w:r>
    </w:p>
    <w:p>
      <w:pPr>
        <w:spacing w:after="0" w:line="15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4"/>
          <w:szCs w:val="14"/>
          <w:color w:val="auto"/>
        </w:rPr>
        <w:t>Very truly yours,</w:t>
      </w:r>
    </w:p>
    <w:p>
      <w:pPr>
        <w:spacing w:after="0" w:line="17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4"/>
          <w:szCs w:val="14"/>
          <w:color w:val="auto"/>
        </w:rPr>
        <w:t>By: /s/ Roger Saldaña Madero</w:t>
      </w:r>
    </w:p>
    <w:p>
      <w:pPr>
        <w:spacing w:after="0" w:line="2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Roger Saldaña Madero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259080</wp:posOffset>
            </wp:positionH>
            <wp:positionV relativeFrom="paragraph">
              <wp:posOffset>-100965</wp:posOffset>
            </wp:positionV>
            <wp:extent cx="2047240" cy="698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51">
                      <a:extLst>
                        <a:ext uri="{28A0092B-C50C-407E-A947-70E740481C1C}"/>
                      </a:extLst>
                    </a:blip>
                    <a:srcRect/>
                    <a:stretch>
                      <a:fillRect/>
                    </a:stretch>
                  </pic:blipFill>
                  <pic:spPr bwMode="auto">
                    <a:xfrm>
                      <a:off x="0" y="0"/>
                      <a:ext cx="2047240" cy="6985"/>
                    </a:xfrm>
                    <a:prstGeom prst="rect">
                      <a:avLst/>
                    </a:prstGeom>
                    <a:noFill/>
                  </pic:spPr>
                </pic:pic>
              </a:graphicData>
            </a:graphic>
          </wp:anchor>
        </w:drawing>
      </w:r>
    </w:p>
    <w:p>
      <w:pPr>
        <w:ind w:left="460"/>
        <w:spacing w:after="0"/>
        <w:rPr>
          <w:sz w:val="20"/>
          <w:szCs w:val="20"/>
          <w:color w:val="auto"/>
        </w:rPr>
      </w:pPr>
      <w:r>
        <w:rPr>
          <w:rFonts w:ascii="Times New Roman" w:cs="Times New Roman" w:eastAsia="Times New Roman" w:hAnsi="Times New Roman"/>
          <w:sz w:val="14"/>
          <w:szCs w:val="14"/>
          <w:color w:val="auto"/>
        </w:rPr>
        <w:t>General Counsel</w:t>
      </w:r>
    </w:p>
    <w:p>
      <w:pPr>
        <w:sectPr>
          <w:pgSz w:w="11900" w:h="16838" w:orient="portrait"/>
          <w:cols w:equalWidth="0" w:num="1">
            <w:col w:w="9019"/>
          </w:cols>
          <w:pgMar w:left="1440" w:top="242" w:right="1440" w:bottom="1440" w:gutter="0" w:footer="0" w:header="0"/>
        </w:sectPr>
      </w:pPr>
    </w:p>
    <w:bookmarkStart w:id="116" w:name="page117"/>
    <w:bookmarkEnd w:id="116"/>
    <w:p>
      <w:pPr>
        <w:spacing w:after="0" w:line="364" w:lineRule="exact"/>
        <w:rPr>
          <w:sz w:val="20"/>
          <w:szCs w:val="20"/>
          <w:color w:val="auto"/>
        </w:rPr>
      </w:pPr>
    </w:p>
    <w:p>
      <w:pPr>
        <w:jc w:val="center"/>
        <w:ind w:left="1580"/>
        <w:spacing w:after="0"/>
        <w:rPr>
          <w:sz w:val="20"/>
          <w:szCs w:val="20"/>
          <w:color w:val="auto"/>
        </w:rPr>
      </w:pPr>
      <w:r>
        <w:rPr>
          <w:rFonts w:ascii="Times New Roman" w:cs="Times New Roman" w:eastAsia="Times New Roman" w:hAnsi="Times New Roman"/>
          <w:sz w:val="14"/>
          <w:szCs w:val="14"/>
          <w:color w:val="auto"/>
        </w:rPr>
        <w:t>S</w:t>
      </w:r>
      <w:r>
        <w:rPr>
          <w:rFonts w:ascii="Times New Roman" w:cs="Times New Roman" w:eastAsia="Times New Roman" w:hAnsi="Times New Roman"/>
          <w:sz w:val="11"/>
          <w:szCs w:val="11"/>
          <w:color w:val="auto"/>
        </w:rPr>
        <w:t>KADDEN</w:t>
      </w:r>
      <w:r>
        <w:rPr>
          <w:rFonts w:ascii="Times New Roman" w:cs="Times New Roman" w:eastAsia="Times New Roman" w:hAnsi="Times New Roman"/>
          <w:sz w:val="14"/>
          <w:szCs w:val="14"/>
          <w:color w:val="auto"/>
        </w:rPr>
        <w:t>, A</w:t>
      </w:r>
      <w:r>
        <w:rPr>
          <w:rFonts w:ascii="Times New Roman" w:cs="Times New Roman" w:eastAsia="Times New Roman" w:hAnsi="Times New Roman"/>
          <w:sz w:val="11"/>
          <w:szCs w:val="11"/>
          <w:color w:val="auto"/>
        </w:rPr>
        <w:t>RPS</w:t>
      </w:r>
      <w:r>
        <w:rPr>
          <w:rFonts w:ascii="Times New Roman" w:cs="Times New Roman" w:eastAsia="Times New Roman" w:hAnsi="Times New Roman"/>
          <w:sz w:val="14"/>
          <w:szCs w:val="14"/>
          <w:color w:val="auto"/>
        </w:rPr>
        <w:t>, S</w:t>
      </w:r>
      <w:r>
        <w:rPr>
          <w:rFonts w:ascii="Times New Roman" w:cs="Times New Roman" w:eastAsia="Times New Roman" w:hAnsi="Times New Roman"/>
          <w:sz w:val="11"/>
          <w:szCs w:val="11"/>
          <w:color w:val="auto"/>
        </w:rPr>
        <w:t>LATE</w:t>
      </w:r>
      <w:r>
        <w:rPr>
          <w:rFonts w:ascii="Times New Roman" w:cs="Times New Roman" w:eastAsia="Times New Roman" w:hAnsi="Times New Roman"/>
          <w:sz w:val="14"/>
          <w:szCs w:val="14"/>
          <w:color w:val="auto"/>
        </w:rPr>
        <w:t>, M</w:t>
      </w:r>
      <w:r>
        <w:rPr>
          <w:rFonts w:ascii="Times New Roman" w:cs="Times New Roman" w:eastAsia="Times New Roman" w:hAnsi="Times New Roman"/>
          <w:sz w:val="11"/>
          <w:szCs w:val="11"/>
          <w:color w:val="auto"/>
        </w:rPr>
        <w:t>EAGHER</w:t>
      </w:r>
      <w:r>
        <w:rPr>
          <w:rFonts w:ascii="Times New Roman" w:cs="Times New Roman" w:eastAsia="Times New Roman" w:hAnsi="Times New Roman"/>
          <w:sz w:val="14"/>
          <w:szCs w:val="14"/>
          <w:color w:val="auto"/>
        </w:rPr>
        <w:t xml:space="preserve"> &amp; F</w:t>
      </w:r>
      <w:r>
        <w:rPr>
          <w:rFonts w:ascii="Times New Roman" w:cs="Times New Roman" w:eastAsia="Times New Roman" w:hAnsi="Times New Roman"/>
          <w:sz w:val="11"/>
          <w:szCs w:val="11"/>
          <w:color w:val="auto"/>
        </w:rPr>
        <w:t>LOM LLP</w:t>
      </w:r>
    </w:p>
    <w:p>
      <w:pPr>
        <w:spacing w:after="0" w:line="23"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4"/>
          <w:szCs w:val="14"/>
          <w:color w:val="auto"/>
        </w:rPr>
        <w:t>ONE MANHATTAN WEST</w:t>
      </w:r>
    </w:p>
    <w:p>
      <w:pPr>
        <w:spacing w:after="0" w:line="9"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16"/>
          <w:szCs w:val="16"/>
          <w:color w:val="auto"/>
        </w:rPr>
        <w:t>NEW YORK, NY 10001</w:t>
      </w:r>
    </w:p>
    <w:p>
      <w:pPr>
        <w:spacing w:after="0" w:line="79"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14"/>
          <w:szCs w:val="14"/>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1871345</wp:posOffset>
            </wp:positionH>
            <wp:positionV relativeFrom="paragraph">
              <wp:posOffset>-4445</wp:posOffset>
            </wp:positionV>
            <wp:extent cx="990600" cy="698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2">
                      <a:extLst>
                        <a:ext uri="{28A0092B-C50C-407E-A947-70E740481C1C}"/>
                      </a:extLst>
                    </a:blip>
                    <a:srcRect/>
                    <a:stretch>
                      <a:fillRect/>
                    </a:stretch>
                  </pic:blipFill>
                  <pic:spPr bwMode="auto">
                    <a:xfrm>
                      <a:off x="0" y="0"/>
                      <a:ext cx="990600" cy="6985"/>
                    </a:xfrm>
                    <a:prstGeom prst="rect">
                      <a:avLst/>
                    </a:prstGeom>
                    <a:noFill/>
                  </pic:spPr>
                </pic:pic>
              </a:graphicData>
            </a:graphic>
          </wp:anchor>
        </w:drawing>
      </w:r>
    </w:p>
    <w:p>
      <w:pPr>
        <w:spacing w:after="0" w:line="85" w:lineRule="exact"/>
        <w:rPr>
          <w:sz w:val="20"/>
          <w:szCs w:val="20"/>
          <w:color w:val="auto"/>
        </w:rPr>
      </w:pPr>
    </w:p>
    <w:p>
      <w:pPr>
        <w:ind w:left="3120"/>
        <w:spacing w:after="0"/>
        <w:rPr>
          <w:sz w:val="20"/>
          <w:szCs w:val="20"/>
          <w:color w:val="auto"/>
        </w:rPr>
      </w:pPr>
      <w:r>
        <w:rPr>
          <w:rFonts w:ascii="Times New Roman" w:cs="Times New Roman" w:eastAsia="Times New Roman" w:hAnsi="Times New Roman"/>
          <w:sz w:val="14"/>
          <w:szCs w:val="14"/>
          <w:color w:val="auto"/>
        </w:rPr>
        <w:t>TEL: (212) 735-3000</w:t>
      </w:r>
    </w:p>
    <w:p>
      <w:pPr>
        <w:spacing w:after="0" w:line="23" w:lineRule="exact"/>
        <w:rPr>
          <w:sz w:val="20"/>
          <w:szCs w:val="20"/>
          <w:color w:val="auto"/>
        </w:rPr>
      </w:pPr>
    </w:p>
    <w:p>
      <w:pPr>
        <w:jc w:val="center"/>
        <w:ind w:left="1580"/>
        <w:spacing w:after="0"/>
        <w:rPr>
          <w:sz w:val="20"/>
          <w:szCs w:val="20"/>
          <w:color w:val="auto"/>
        </w:rPr>
      </w:pPr>
      <w:r>
        <w:rPr>
          <w:rFonts w:ascii="Times New Roman" w:cs="Times New Roman" w:eastAsia="Times New Roman" w:hAnsi="Times New Roman"/>
          <w:sz w:val="14"/>
          <w:szCs w:val="14"/>
          <w:color w:val="auto"/>
        </w:rPr>
        <w:t>FAX: (212) 735-2000</w:t>
      </w:r>
    </w:p>
    <w:p>
      <w:pPr>
        <w:spacing w:after="0" w:line="91" w:lineRule="exact"/>
        <w:rPr>
          <w:sz w:val="20"/>
          <w:szCs w:val="20"/>
          <w:color w:val="auto"/>
        </w:rPr>
      </w:pPr>
    </w:p>
    <w:p>
      <w:pPr>
        <w:jc w:val="center"/>
        <w:ind w:left="1580"/>
        <w:spacing w:after="0"/>
        <w:rPr>
          <w:sz w:val="20"/>
          <w:szCs w:val="20"/>
          <w:color w:val="auto"/>
        </w:rPr>
      </w:pPr>
      <w:r>
        <w:rPr>
          <w:rFonts w:ascii="Times New Roman" w:cs="Times New Roman" w:eastAsia="Times New Roman" w:hAnsi="Times New Roman"/>
          <w:sz w:val="14"/>
          <w:szCs w:val="14"/>
          <w:color w:val="auto"/>
        </w:rPr>
        <w:t>www.skadden.com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4"/>
          <w:szCs w:val="14"/>
          <w:color w:val="auto"/>
        </w:rPr>
        <w:t>Cemex, S.A.B. de C.V.</w:t>
      </w:r>
    </w:p>
    <w:p>
      <w:pPr>
        <w:spacing w:after="0" w:line="2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4"/>
          <w:szCs w:val="14"/>
          <w:color w:val="auto"/>
        </w:rPr>
        <w:t>Avenida Ricardo Margáin Zozaya #325</w:t>
      </w:r>
    </w:p>
    <w:p>
      <w:pPr>
        <w:spacing w:after="0" w:line="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4"/>
          <w:szCs w:val="14"/>
          <w:color w:val="auto"/>
        </w:rPr>
        <w:t>Colonia Valle del Campestre</w:t>
      </w:r>
    </w:p>
    <w:p>
      <w:pPr>
        <w:spacing w:after="0" w:line="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4"/>
          <w:szCs w:val="14"/>
          <w:color w:val="auto"/>
        </w:rPr>
        <w:t>San Pedro Garza García</w:t>
      </w:r>
    </w:p>
    <w:p>
      <w:pPr>
        <w:spacing w:after="0" w:line="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4"/>
          <w:szCs w:val="14"/>
          <w:color w:val="auto"/>
        </w:rPr>
        <w:t>Nuevo León, 66265 México</w:t>
      </w:r>
    </w:p>
    <w:p>
      <w:pPr>
        <w:spacing w:after="0" w:line="187" w:lineRule="exact"/>
        <w:rPr>
          <w:sz w:val="20"/>
          <w:szCs w:val="20"/>
          <w:color w:val="auto"/>
        </w:rPr>
      </w:pPr>
    </w:p>
    <w:p>
      <w:pPr>
        <w:ind w:left="2060"/>
        <w:spacing w:after="0"/>
        <w:tabs>
          <w:tab w:leader="none" w:pos="2380" w:val="left"/>
        </w:tabs>
        <w:rPr>
          <w:sz w:val="20"/>
          <w:szCs w:val="20"/>
          <w:color w:val="auto"/>
        </w:rPr>
      </w:pPr>
      <w:r>
        <w:rPr>
          <w:rFonts w:ascii="Times New Roman" w:cs="Times New Roman" w:eastAsia="Times New Roman" w:hAnsi="Times New Roman"/>
          <w:sz w:val="14"/>
          <w:szCs w:val="14"/>
          <w:color w:val="auto"/>
        </w:rPr>
        <w:t>Re:</w:t>
        <w:tab/>
        <w:t>Cemex, S.A.B. de C.V.</w:t>
      </w:r>
    </w:p>
    <w:p>
      <w:pPr>
        <w:spacing w:after="0" w:line="23" w:lineRule="exact"/>
        <w:rPr>
          <w:sz w:val="20"/>
          <w:szCs w:val="20"/>
          <w:color w:val="auto"/>
        </w:rPr>
      </w:pPr>
    </w:p>
    <w:p>
      <w:pPr>
        <w:ind w:left="2420"/>
        <w:spacing w:after="0"/>
        <w:rPr>
          <w:sz w:val="20"/>
          <w:szCs w:val="20"/>
          <w:color w:val="auto"/>
        </w:rPr>
      </w:pPr>
      <w:r>
        <w:rPr>
          <w:rFonts w:ascii="Times New Roman" w:cs="Times New Roman" w:eastAsia="Times New Roman" w:hAnsi="Times New Roman"/>
          <w:sz w:val="14"/>
          <w:szCs w:val="14"/>
          <w:u w:val="single" w:color="auto"/>
          <w:color w:val="auto"/>
        </w:rPr>
        <w:t>Registration Statement on Form F-3</w:t>
      </w:r>
    </w:p>
    <w:p>
      <w:pPr>
        <w:spacing w:after="0" w:line="16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4"/>
          <w:szCs w:val="14"/>
          <w:color w:val="auto"/>
        </w:rPr>
        <w:t>Ladies and Gentlemen:</w:t>
      </w:r>
    </w:p>
    <w:p>
      <w:pPr>
        <w:spacing w:after="0" w:line="20" w:lineRule="exact"/>
        <w:rPr>
          <w:sz w:val="20"/>
          <w:szCs w:val="20"/>
          <w:color w:val="auto"/>
        </w:rPr>
      </w:pPr>
      <w:r>
        <w:rPr>
          <w:sz w:val="20"/>
          <w:szCs w:val="20"/>
          <w:color w:val="auto"/>
        </w:rPr>
        <w:br w:type="column"/>
      </w:r>
    </w:p>
    <w:p>
      <w:pPr>
        <w:jc w:val="right"/>
        <w:ind w:right="179"/>
        <w:spacing w:after="0"/>
        <w:rPr>
          <w:sz w:val="20"/>
          <w:szCs w:val="20"/>
          <w:color w:val="auto"/>
        </w:rPr>
      </w:pPr>
      <w:r>
        <w:rPr>
          <w:rFonts w:ascii="Times New Roman" w:cs="Times New Roman" w:eastAsia="Times New Roman" w:hAnsi="Times New Roman"/>
          <w:sz w:val="14"/>
          <w:szCs w:val="14"/>
          <w:b w:val="1"/>
          <w:bCs w:val="1"/>
          <w:color w:val="auto"/>
        </w:rPr>
        <w:t>Exhibit 5.2</w:t>
      </w:r>
    </w:p>
    <w:p>
      <w:pPr>
        <w:spacing w:after="0" w:line="38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4"/>
          <w:szCs w:val="14"/>
          <w:color w:val="auto"/>
        </w:rPr>
        <w:t>FIRM/AFFILIATE</w:t>
      </w:r>
    </w:p>
    <w:p>
      <w:pPr>
        <w:spacing w:after="0" w:line="23"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4"/>
          <w:szCs w:val="14"/>
          <w:color w:val="auto"/>
        </w:rPr>
        <w:t>OFFICES</w:t>
      </w:r>
    </w:p>
    <w:p>
      <w:pPr>
        <w:spacing w:after="0" w:line="9"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4"/>
          <w:szCs w:val="14"/>
          <w:color w:val="auto"/>
        </w:rPr>
        <w:t xml:space="preserve">                   </w:t>
      </w:r>
    </w:p>
    <w:p>
      <w:pPr>
        <w:spacing w:after="0" w:line="102"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4"/>
          <w:szCs w:val="14"/>
          <w:color w:val="auto"/>
        </w:rPr>
        <w:t>BOSTON</w:t>
      </w:r>
    </w:p>
    <w:p>
      <w:pPr>
        <w:spacing w:after="0" w:line="23"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4"/>
          <w:szCs w:val="14"/>
          <w:color w:val="auto"/>
        </w:rPr>
        <w:t>CHICAGO</w:t>
      </w:r>
    </w:p>
    <w:p>
      <w:pPr>
        <w:spacing w:after="0" w:line="9"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4"/>
          <w:szCs w:val="14"/>
          <w:color w:val="auto"/>
        </w:rPr>
        <w:t>HOUSTON</w:t>
      </w:r>
    </w:p>
    <w:p>
      <w:pPr>
        <w:spacing w:after="0" w:line="9"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4"/>
          <w:szCs w:val="14"/>
          <w:color w:val="auto"/>
        </w:rPr>
        <w:t>LOS ANGELES</w:t>
      </w:r>
    </w:p>
    <w:p>
      <w:pPr>
        <w:spacing w:after="0" w:line="9"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color w:val="auto"/>
        </w:rPr>
        <w:t>PALO ALTO</w:t>
      </w:r>
    </w:p>
    <w:p>
      <w:pPr>
        <w:spacing w:after="0" w:line="9"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4"/>
          <w:szCs w:val="14"/>
          <w:color w:val="auto"/>
        </w:rPr>
        <w:t>WASHINGTON, D.C.</w:t>
      </w:r>
    </w:p>
    <w:p>
      <w:pPr>
        <w:spacing w:after="0" w:line="9"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4"/>
          <w:szCs w:val="14"/>
          <w:color w:val="auto"/>
        </w:rPr>
        <w:t>WILMINGTON</w:t>
      </w:r>
    </w:p>
    <w:p>
      <w:pPr>
        <w:spacing w:after="0" w:line="9"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4"/>
          <w:szCs w:val="14"/>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656590</wp:posOffset>
            </wp:positionH>
            <wp:positionV relativeFrom="paragraph">
              <wp:posOffset>-13335</wp:posOffset>
            </wp:positionV>
            <wp:extent cx="630555" cy="698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3">
                      <a:extLst>
                        <a:ext uri="{28A0092B-C50C-407E-A947-70E740481C1C}"/>
                      </a:extLst>
                    </a:blip>
                    <a:srcRect/>
                    <a:stretch>
                      <a:fillRect/>
                    </a:stretch>
                  </pic:blipFill>
                  <pic:spPr bwMode="auto">
                    <a:xfrm>
                      <a:off x="0" y="0"/>
                      <a:ext cx="630555" cy="6985"/>
                    </a:xfrm>
                    <a:prstGeom prst="rect">
                      <a:avLst/>
                    </a:prstGeom>
                    <a:noFill/>
                  </pic:spPr>
                </pic:pic>
              </a:graphicData>
            </a:graphic>
          </wp:anchor>
        </w:drawing>
      </w:r>
    </w:p>
    <w:p>
      <w:pPr>
        <w:spacing w:after="0" w:line="82" w:lineRule="exact"/>
        <w:rPr>
          <w:sz w:val="20"/>
          <w:szCs w:val="20"/>
          <w:color w:val="auto"/>
        </w:rPr>
      </w:pPr>
    </w:p>
    <w:p>
      <w:pPr>
        <w:jc w:val="center"/>
        <w:ind w:right="-620"/>
        <w:spacing w:after="0"/>
        <w:rPr>
          <w:sz w:val="20"/>
          <w:szCs w:val="20"/>
          <w:color w:val="auto"/>
        </w:rPr>
      </w:pPr>
      <w:r>
        <w:rPr>
          <w:rFonts w:ascii="Times New Roman" w:cs="Times New Roman" w:eastAsia="Times New Roman" w:hAnsi="Times New Roman"/>
          <w:sz w:val="14"/>
          <w:szCs w:val="14"/>
          <w:color w:val="auto"/>
        </w:rPr>
        <w:t>ABU DHABI</w:t>
      </w:r>
    </w:p>
    <w:p>
      <w:pPr>
        <w:spacing w:after="0" w:line="23" w:lineRule="exact"/>
        <w:rPr>
          <w:sz w:val="20"/>
          <w:szCs w:val="20"/>
          <w:color w:val="auto"/>
        </w:rPr>
      </w:pPr>
    </w:p>
    <w:p>
      <w:pPr>
        <w:jc w:val="center"/>
        <w:ind w:right="-620"/>
        <w:spacing w:after="0"/>
        <w:rPr>
          <w:sz w:val="20"/>
          <w:szCs w:val="20"/>
          <w:color w:val="auto"/>
        </w:rPr>
      </w:pPr>
      <w:r>
        <w:rPr>
          <w:rFonts w:ascii="Times New Roman" w:cs="Times New Roman" w:eastAsia="Times New Roman" w:hAnsi="Times New Roman"/>
          <w:sz w:val="14"/>
          <w:szCs w:val="14"/>
          <w:color w:val="auto"/>
        </w:rPr>
        <w:t>BEIJING</w:t>
      </w:r>
    </w:p>
    <w:p>
      <w:pPr>
        <w:spacing w:after="0" w:line="9" w:lineRule="exact"/>
        <w:rPr>
          <w:sz w:val="20"/>
          <w:szCs w:val="20"/>
          <w:color w:val="auto"/>
        </w:rPr>
      </w:pPr>
    </w:p>
    <w:p>
      <w:pPr>
        <w:jc w:val="center"/>
        <w:ind w:right="-620"/>
        <w:spacing w:after="0"/>
        <w:rPr>
          <w:sz w:val="20"/>
          <w:szCs w:val="20"/>
          <w:color w:val="auto"/>
        </w:rPr>
      </w:pPr>
      <w:r>
        <w:rPr>
          <w:rFonts w:ascii="Times New Roman" w:cs="Times New Roman" w:eastAsia="Times New Roman" w:hAnsi="Times New Roman"/>
          <w:sz w:val="14"/>
          <w:szCs w:val="14"/>
          <w:color w:val="auto"/>
        </w:rPr>
        <w:t>BRUSSELS</w:t>
      </w:r>
    </w:p>
    <w:p>
      <w:pPr>
        <w:spacing w:after="0" w:line="9" w:lineRule="exact"/>
        <w:rPr>
          <w:sz w:val="20"/>
          <w:szCs w:val="20"/>
          <w:color w:val="auto"/>
        </w:rPr>
      </w:pPr>
    </w:p>
    <w:p>
      <w:pPr>
        <w:jc w:val="center"/>
        <w:ind w:right="-620"/>
        <w:spacing w:after="0"/>
        <w:rPr>
          <w:sz w:val="20"/>
          <w:szCs w:val="20"/>
          <w:color w:val="auto"/>
        </w:rPr>
      </w:pPr>
      <w:r>
        <w:rPr>
          <w:rFonts w:ascii="Times New Roman" w:cs="Times New Roman" w:eastAsia="Times New Roman" w:hAnsi="Times New Roman"/>
          <w:sz w:val="14"/>
          <w:szCs w:val="14"/>
          <w:color w:val="auto"/>
        </w:rPr>
        <w:t>FRANKFURT</w:t>
      </w:r>
    </w:p>
    <w:p>
      <w:pPr>
        <w:spacing w:after="0" w:line="9" w:lineRule="exact"/>
        <w:rPr>
          <w:sz w:val="20"/>
          <w:szCs w:val="20"/>
          <w:color w:val="auto"/>
        </w:rPr>
      </w:pPr>
    </w:p>
    <w:p>
      <w:pPr>
        <w:jc w:val="center"/>
        <w:ind w:right="-620"/>
        <w:spacing w:after="0"/>
        <w:rPr>
          <w:sz w:val="20"/>
          <w:szCs w:val="20"/>
          <w:color w:val="auto"/>
        </w:rPr>
      </w:pPr>
      <w:r>
        <w:rPr>
          <w:rFonts w:ascii="Times New Roman" w:cs="Times New Roman" w:eastAsia="Times New Roman" w:hAnsi="Times New Roman"/>
          <w:sz w:val="14"/>
          <w:szCs w:val="14"/>
          <w:color w:val="auto"/>
        </w:rPr>
        <w:t>HONG KONG</w:t>
      </w:r>
    </w:p>
    <w:p>
      <w:pPr>
        <w:spacing w:after="0" w:line="9" w:lineRule="exact"/>
        <w:rPr>
          <w:sz w:val="20"/>
          <w:szCs w:val="20"/>
          <w:color w:val="auto"/>
        </w:rPr>
      </w:pPr>
    </w:p>
    <w:p>
      <w:pPr>
        <w:jc w:val="center"/>
        <w:ind w:right="-620"/>
        <w:spacing w:after="0"/>
        <w:rPr>
          <w:sz w:val="20"/>
          <w:szCs w:val="20"/>
          <w:color w:val="auto"/>
        </w:rPr>
      </w:pPr>
      <w:r>
        <w:rPr>
          <w:rFonts w:ascii="Times New Roman" w:cs="Times New Roman" w:eastAsia="Times New Roman" w:hAnsi="Times New Roman"/>
          <w:sz w:val="14"/>
          <w:szCs w:val="14"/>
          <w:color w:val="auto"/>
        </w:rPr>
        <w:t>LONDON</w:t>
      </w:r>
    </w:p>
    <w:p>
      <w:pPr>
        <w:spacing w:after="0" w:line="9" w:lineRule="exact"/>
        <w:rPr>
          <w:sz w:val="20"/>
          <w:szCs w:val="20"/>
          <w:color w:val="auto"/>
        </w:rPr>
      </w:pPr>
    </w:p>
    <w:p>
      <w:pPr>
        <w:jc w:val="center"/>
        <w:ind w:right="-620"/>
        <w:spacing w:after="0"/>
        <w:rPr>
          <w:sz w:val="20"/>
          <w:szCs w:val="20"/>
          <w:color w:val="auto"/>
        </w:rPr>
      </w:pPr>
      <w:r>
        <w:rPr>
          <w:rFonts w:ascii="Times New Roman" w:cs="Times New Roman" w:eastAsia="Times New Roman" w:hAnsi="Times New Roman"/>
          <w:sz w:val="14"/>
          <w:szCs w:val="14"/>
          <w:color w:val="auto"/>
        </w:rPr>
        <w:t>MUNICH</w:t>
      </w:r>
    </w:p>
    <w:p>
      <w:pPr>
        <w:spacing w:after="0" w:line="9" w:lineRule="exact"/>
        <w:rPr>
          <w:sz w:val="20"/>
          <w:szCs w:val="20"/>
          <w:color w:val="auto"/>
        </w:rPr>
      </w:pPr>
    </w:p>
    <w:p>
      <w:pPr>
        <w:jc w:val="center"/>
        <w:ind w:right="-620"/>
        <w:spacing w:after="0"/>
        <w:rPr>
          <w:sz w:val="20"/>
          <w:szCs w:val="20"/>
          <w:color w:val="auto"/>
        </w:rPr>
      </w:pPr>
      <w:r>
        <w:rPr>
          <w:rFonts w:ascii="Times New Roman" w:cs="Times New Roman" w:eastAsia="Times New Roman" w:hAnsi="Times New Roman"/>
          <w:sz w:val="14"/>
          <w:szCs w:val="14"/>
          <w:color w:val="auto"/>
        </w:rPr>
        <w:t>PARIS</w:t>
      </w:r>
    </w:p>
    <w:p>
      <w:pPr>
        <w:spacing w:after="0" w:line="9" w:lineRule="exact"/>
        <w:rPr>
          <w:sz w:val="20"/>
          <w:szCs w:val="20"/>
          <w:color w:val="auto"/>
        </w:rPr>
      </w:pPr>
    </w:p>
    <w:p>
      <w:pPr>
        <w:jc w:val="center"/>
        <w:ind w:right="-620"/>
        <w:spacing w:after="0"/>
        <w:rPr>
          <w:sz w:val="20"/>
          <w:szCs w:val="20"/>
          <w:color w:val="auto"/>
        </w:rPr>
      </w:pPr>
      <w:r>
        <w:rPr>
          <w:rFonts w:ascii="Times New Roman" w:cs="Times New Roman" w:eastAsia="Times New Roman" w:hAnsi="Times New Roman"/>
          <w:sz w:val="14"/>
          <w:szCs w:val="14"/>
          <w:color w:val="auto"/>
        </w:rPr>
        <w:t>SÃO PAULO</w:t>
      </w:r>
    </w:p>
    <w:p>
      <w:pPr>
        <w:ind w:left="1140" w:right="519" w:hanging="1141"/>
        <w:spacing w:after="0" w:line="280" w:lineRule="auto"/>
        <w:tabs>
          <w:tab w:leader="none" w:pos="1120" w:val="left"/>
        </w:tabs>
        <w:rPr>
          <w:sz w:val="20"/>
          <w:szCs w:val="20"/>
          <w:color w:val="auto"/>
        </w:rPr>
      </w:pPr>
      <w:r>
        <w:rPr>
          <w:rFonts w:ascii="Times New Roman" w:cs="Times New Roman" w:eastAsia="Times New Roman" w:hAnsi="Times New Roman"/>
          <w:sz w:val="14"/>
          <w:szCs w:val="14"/>
          <w:color w:val="auto"/>
        </w:rPr>
        <w:t>June 1, 2026</w:t>
      </w:r>
      <w:r>
        <w:rPr>
          <w:sz w:val="20"/>
          <w:szCs w:val="20"/>
          <w:color w:val="auto"/>
        </w:rPr>
        <w:tab/>
      </w:r>
      <w:r>
        <w:rPr>
          <w:rFonts w:ascii="Times New Roman" w:cs="Times New Roman" w:eastAsia="Times New Roman" w:hAnsi="Times New Roman"/>
          <w:sz w:val="13"/>
          <w:szCs w:val="13"/>
          <w:color w:val="auto"/>
        </w:rPr>
        <w:t>SEOUL SINGAPORE</w:t>
      </w:r>
    </w:p>
    <w:p>
      <w:pPr>
        <w:jc w:val="center"/>
        <w:ind w:right="-620"/>
        <w:spacing w:after="0"/>
        <w:rPr>
          <w:sz w:val="20"/>
          <w:szCs w:val="20"/>
          <w:color w:val="auto"/>
        </w:rPr>
      </w:pPr>
      <w:r>
        <w:rPr>
          <w:rFonts w:ascii="Times New Roman" w:cs="Times New Roman" w:eastAsia="Times New Roman" w:hAnsi="Times New Roman"/>
          <w:sz w:val="14"/>
          <w:szCs w:val="14"/>
          <w:color w:val="auto"/>
        </w:rPr>
        <w:t>TOKYO</w:t>
      </w:r>
    </w:p>
    <w:p>
      <w:pPr>
        <w:spacing w:after="0" w:line="9" w:lineRule="exact"/>
        <w:rPr>
          <w:sz w:val="20"/>
          <w:szCs w:val="20"/>
          <w:color w:val="auto"/>
        </w:rPr>
      </w:pPr>
    </w:p>
    <w:p>
      <w:pPr>
        <w:jc w:val="center"/>
        <w:ind w:right="-620"/>
        <w:spacing w:after="0"/>
        <w:rPr>
          <w:sz w:val="20"/>
          <w:szCs w:val="20"/>
          <w:color w:val="auto"/>
        </w:rPr>
      </w:pPr>
      <w:r>
        <w:rPr>
          <w:rFonts w:ascii="Times New Roman" w:cs="Times New Roman" w:eastAsia="Times New Roman" w:hAnsi="Times New Roman"/>
          <w:sz w:val="14"/>
          <w:szCs w:val="14"/>
          <w:color w:val="auto"/>
        </w:rPr>
        <w:t>TORONTO</w:t>
      </w:r>
    </w:p>
    <w:p>
      <w:pPr>
        <w:spacing w:after="0" w:line="1973" w:lineRule="exact"/>
        <w:rPr>
          <w:sz w:val="20"/>
          <w:szCs w:val="20"/>
          <w:color w:val="auto"/>
        </w:rPr>
      </w:pPr>
    </w:p>
    <w:p>
      <w:pPr>
        <w:sectPr>
          <w:pgSz w:w="11900" w:h="16838" w:orient="portrait"/>
          <w:cols w:equalWidth="0" w:num="2">
            <w:col w:w="5860" w:space="720"/>
            <w:col w:w="2439"/>
          </w:cols>
          <w:pgMar w:left="1440" w:top="123" w:right="1440" w:bottom="1440" w:gutter="0" w:footer="0" w:header="0"/>
        </w:sectPr>
      </w:pPr>
    </w:p>
    <w:p>
      <w:pPr>
        <w:ind w:left="940"/>
        <w:spacing w:after="0"/>
        <w:rPr>
          <w:sz w:val="20"/>
          <w:szCs w:val="20"/>
          <w:color w:val="auto"/>
        </w:rPr>
      </w:pPr>
      <w:r>
        <w:rPr>
          <w:rFonts w:ascii="Times New Roman" w:cs="Times New Roman" w:eastAsia="Times New Roman" w:hAnsi="Times New Roman"/>
          <w:sz w:val="14"/>
          <w:szCs w:val="14"/>
          <w:color w:val="auto"/>
        </w:rPr>
        <w:t>We have acted as special United States counsel to Cemex, S.A.B. de C.V., a publicly traded stock corporation with variable capital</w:t>
      </w:r>
    </w:p>
    <w:p>
      <w:pPr>
        <w:spacing w:after="0" w:line="2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sociedad anónima bursátil de capital variable</w:t>
      </w:r>
      <w:r>
        <w:rPr>
          <w:rFonts w:ascii="Times New Roman" w:cs="Times New Roman" w:eastAsia="Times New Roman" w:hAnsi="Times New Roman"/>
          <w:sz w:val="14"/>
          <w:szCs w:val="14"/>
          <w:color w:val="auto"/>
        </w:rPr>
        <w:t>), organized under the laws of the United Mexican States (“Mexico”), in connection with the registration</w:t>
      </w:r>
    </w:p>
    <w:p>
      <w:pPr>
        <w:spacing w:after="0" w:line="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4"/>
          <w:szCs w:val="14"/>
          <w:color w:val="auto"/>
        </w:rPr>
        <w:t>statement on Form F-3 (the “Registration Statement”) to be filed on the date hereof by the Company and Cemex Corp., a Delaware corporation (the</w:t>
      </w:r>
    </w:p>
    <w:p>
      <w:pPr>
        <w:spacing w:after="0" w:line="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4"/>
          <w:szCs w:val="14"/>
          <w:color w:val="auto"/>
        </w:rPr>
        <w:t>“Guarantor”), with the Securities and Exchange Commission (the “Commission”) under the Securities Act of 1933 (the “Securities Act”). The</w:t>
      </w:r>
    </w:p>
    <w:p>
      <w:pPr>
        <w:spacing w:after="0" w:line="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4"/>
          <w:szCs w:val="14"/>
          <w:color w:val="auto"/>
        </w:rPr>
        <w:t>Registration Statement relates to the issuance and sale by the Company from time to time, pursuant to Rule 415 of the General Rules and Regulations of</w:t>
      </w:r>
    </w:p>
    <w:p>
      <w:pPr>
        <w:spacing w:after="0" w:line="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4"/>
          <w:szCs w:val="14"/>
          <w:color w:val="auto"/>
        </w:rPr>
        <w:t>the Commission promulgated under the Securities Act (the “Rules and Regulations”), of debt securities of the Company (“Debt Securities”), which may</w:t>
      </w:r>
    </w:p>
    <w:p>
      <w:pPr>
        <w:spacing w:after="0" w:line="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4"/>
          <w:szCs w:val="14"/>
          <w:color w:val="auto"/>
        </w:rPr>
        <w:t>be issued in one or more series under an indenture (the “Indenture”) proposed to be entered into by the Company and The Bank of New York Mellon, as</w:t>
      </w:r>
    </w:p>
    <w:p>
      <w:pPr>
        <w:spacing w:after="0" w:line="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4"/>
          <w:szCs w:val="14"/>
          <w:color w:val="auto"/>
        </w:rPr>
        <w:t>trustee, the form of which is filed as an exhibit to the Registration Statement. The Registration Statement also relates to the issuance and sale from time</w:t>
      </w:r>
    </w:p>
    <w:p>
      <w:pPr>
        <w:spacing w:after="0" w:line="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4"/>
          <w:szCs w:val="14"/>
          <w:color w:val="auto"/>
        </w:rPr>
        <w:t>to time by the Guarantor of guarantees of the Debt Securities (“Guarantees”). The Debt Securities and Guarantees offered pursuant to the Registration</w:t>
      </w:r>
    </w:p>
    <w:p>
      <w:pPr>
        <w:spacing w:after="0" w:line="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4"/>
          <w:szCs w:val="14"/>
          <w:color w:val="auto"/>
        </w:rPr>
        <w:t>Statement are collectively referred to herein as the “Securities.”</w:t>
      </w:r>
    </w:p>
    <w:p>
      <w:pPr>
        <w:sectPr>
          <w:pgSz w:w="11900" w:h="16838" w:orient="portrait"/>
          <w:cols w:equalWidth="0" w:num="1">
            <w:col w:w="9019"/>
          </w:cols>
          <w:pgMar w:left="1440" w:top="123" w:right="1440" w:bottom="1440" w:gutter="0" w:footer="0" w:header="0"/>
          <w:type w:val="continuous"/>
        </w:sectPr>
      </w:pPr>
    </w:p>
    <w:bookmarkStart w:id="117" w:name="page118"/>
    <w:bookmarkEnd w:id="117"/>
    <w:p>
      <w:pPr>
        <w:ind w:left="160"/>
        <w:spacing w:after="0"/>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4">
                      <a:extLst>
                        <a:ext uri="{28A0092B-C50C-407E-A947-70E740481C1C}"/>
                      </a:extLst>
                    </a:blip>
                    <a:srcRect/>
                    <a:stretch>
                      <a:fillRect/>
                    </a:stretch>
                  </pic:blipFill>
                  <pic:spPr bwMode="auto">
                    <a:xfrm>
                      <a:off x="0" y="0"/>
                      <a:ext cx="7200265" cy="33020"/>
                    </a:xfrm>
                    <a:prstGeom prst="rect">
                      <a:avLst/>
                    </a:prstGeom>
                    <a:noFill/>
                  </pic:spPr>
                </pic:pic>
              </a:graphicData>
            </a:graphic>
          </wp:anchor>
        </w:drawing>
        <w:t>Cemex, S.A.B. de C.V.</w:t>
      </w:r>
    </w:p>
    <w:p>
      <w:pPr>
        <w:spacing w:after="0" w:line="2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4"/>
          <w:szCs w:val="14"/>
          <w:color w:val="auto"/>
        </w:rPr>
        <w:t>June 1, 2026</w:t>
      </w:r>
    </w:p>
    <w:p>
      <w:pPr>
        <w:spacing w:after="0" w:line="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4"/>
          <w:szCs w:val="14"/>
          <w:color w:val="auto"/>
        </w:rPr>
        <w:t>Page 2</w:t>
      </w:r>
    </w:p>
    <w:p>
      <w:pPr>
        <w:spacing w:after="0" w:line="112"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4"/>
          <w:szCs w:val="14"/>
          <w:color w:val="auto"/>
        </w:rPr>
        <w:t>This opinion is being furnished in accordance with the requirements of Item 601(b)(5) of Regulation S-K under the Securities Act.</w:t>
      </w:r>
    </w:p>
    <w:p>
      <w:pPr>
        <w:spacing w:after="0" w:line="179"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4"/>
          <w:szCs w:val="14"/>
          <w:color w:val="auto"/>
        </w:rPr>
        <w:t>In rendering the opinions stated herein, we have examined and relied upon the following:</w:t>
      </w:r>
    </w:p>
    <w:p>
      <w:pPr>
        <w:spacing w:after="0" w:line="94" w:lineRule="exact"/>
        <w:rPr>
          <w:sz w:val="20"/>
          <w:szCs w:val="20"/>
          <w:color w:val="auto"/>
        </w:rPr>
      </w:pPr>
    </w:p>
    <w:p>
      <w:pPr>
        <w:ind w:left="1140" w:hanging="196"/>
        <w:spacing w:after="0"/>
        <w:tabs>
          <w:tab w:leader="none" w:pos="1140" w:val="left"/>
        </w:tabs>
        <w:numPr>
          <w:ilvl w:val="0"/>
          <w:numId w:val="1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Registration Statement; and</w:t>
      </w:r>
    </w:p>
    <w:p>
      <w:pPr>
        <w:spacing w:after="0" w:line="179" w:lineRule="exact"/>
        <w:rPr>
          <w:rFonts w:ascii="Times New Roman" w:cs="Times New Roman" w:eastAsia="Times New Roman" w:hAnsi="Times New Roman"/>
          <w:sz w:val="14"/>
          <w:szCs w:val="14"/>
          <w:color w:val="auto"/>
        </w:rPr>
      </w:pPr>
    </w:p>
    <w:p>
      <w:pPr>
        <w:ind w:left="1140" w:hanging="196"/>
        <w:spacing w:after="0"/>
        <w:tabs>
          <w:tab w:leader="none" w:pos="1140" w:val="left"/>
        </w:tabs>
        <w:numPr>
          <w:ilvl w:val="0"/>
          <w:numId w:val="1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form of Indenture filed as an exhibit to the Registration Statement.</w:t>
      </w:r>
    </w:p>
    <w:p>
      <w:pPr>
        <w:spacing w:after="0" w:line="179" w:lineRule="exact"/>
        <w:rPr>
          <w:sz w:val="20"/>
          <w:szCs w:val="20"/>
          <w:color w:val="auto"/>
        </w:rPr>
      </w:pPr>
    </w:p>
    <w:p>
      <w:pPr>
        <w:ind w:left="160" w:right="399" w:firstLine="781"/>
        <w:spacing w:after="0" w:line="271" w:lineRule="auto"/>
        <w:rPr>
          <w:sz w:val="20"/>
          <w:szCs w:val="20"/>
          <w:color w:val="auto"/>
        </w:rPr>
      </w:pPr>
      <w:r>
        <w:rPr>
          <w:rFonts w:ascii="Times New Roman" w:cs="Times New Roman" w:eastAsia="Times New Roman" w:hAnsi="Times New Roman"/>
          <w:sz w:val="14"/>
          <w:szCs w:val="14"/>
          <w:color w:val="auto"/>
        </w:rPr>
        <w:t>We have also examined originals or copies, certified or otherwise identified to our satisfaction, of such records of the Company and the Guarantor and such agreements, certificates and receipts of public officials, certificates of officers or other representatives of the Company and the Guarantor and others, and such other documents as we have deemed necessary or appropriate as a basis for the opinions stated below.</w:t>
      </w:r>
    </w:p>
    <w:p>
      <w:pPr>
        <w:spacing w:after="0" w:line="136" w:lineRule="exact"/>
        <w:rPr>
          <w:sz w:val="20"/>
          <w:szCs w:val="20"/>
          <w:color w:val="auto"/>
        </w:rPr>
      </w:pPr>
    </w:p>
    <w:p>
      <w:pPr>
        <w:ind w:left="160" w:right="219" w:firstLine="781"/>
        <w:spacing w:after="0" w:line="262" w:lineRule="auto"/>
        <w:rPr>
          <w:sz w:val="20"/>
          <w:szCs w:val="20"/>
          <w:color w:val="auto"/>
        </w:rPr>
      </w:pPr>
      <w:r>
        <w:rPr>
          <w:rFonts w:ascii="Times New Roman" w:cs="Times New Roman" w:eastAsia="Times New Roman" w:hAnsi="Times New Roman"/>
          <w:sz w:val="14"/>
          <w:szCs w:val="14"/>
          <w:color w:val="auto"/>
        </w:rPr>
        <w:t>In our examination, we have assumed the genuineness of all signatures, including electronic signatures, the legal capacity and competency of all natural persons, the authenticity of all documents submitted to us as originals, the conformity to original documents of all documents submitted to us as facsimile, electronic, certified or photocopied copies, and the authenticity of the originals of such copies. As to any facts relevant to the opinions stated herein that we did not independently establish or verify, we have relied upon statements and representations of officers and other representatives of the Company and the Guarantor and others and of public officials.</w:t>
      </w:r>
    </w:p>
    <w:p>
      <w:pPr>
        <w:spacing w:after="0" w:line="143" w:lineRule="exact"/>
        <w:rPr>
          <w:sz w:val="20"/>
          <w:szCs w:val="20"/>
          <w:color w:val="auto"/>
        </w:rPr>
      </w:pPr>
    </w:p>
    <w:p>
      <w:pPr>
        <w:ind w:left="160" w:right="219" w:firstLine="781"/>
        <w:spacing w:after="0" w:line="271" w:lineRule="auto"/>
        <w:rPr>
          <w:sz w:val="20"/>
          <w:szCs w:val="20"/>
          <w:color w:val="auto"/>
        </w:rPr>
      </w:pPr>
      <w:r>
        <w:rPr>
          <w:rFonts w:ascii="Times New Roman" w:cs="Times New Roman" w:eastAsia="Times New Roman" w:hAnsi="Times New Roman"/>
          <w:sz w:val="14"/>
          <w:szCs w:val="14"/>
          <w:color w:val="auto"/>
        </w:rPr>
        <w:t>We do not express any opinion with respect to the laws of any jurisdiction other than the laws of the State of New York. The Securities may be issued from time to time on a delayed or continuous basis, and this opinion is limited to the laws, including the rules and regulations, as in effect on the date hereof, which laws are subject to change with possible retroactive effect.</w:t>
      </w:r>
    </w:p>
    <w:p>
      <w:pPr>
        <w:spacing w:after="0" w:line="136" w:lineRule="exact"/>
        <w:rPr>
          <w:sz w:val="20"/>
          <w:szCs w:val="20"/>
          <w:color w:val="auto"/>
        </w:rPr>
      </w:pPr>
    </w:p>
    <w:p>
      <w:pPr>
        <w:ind w:left="160" w:right="519" w:firstLine="781"/>
        <w:spacing w:after="0" w:line="288" w:lineRule="auto"/>
        <w:rPr>
          <w:sz w:val="20"/>
          <w:szCs w:val="20"/>
          <w:color w:val="auto"/>
        </w:rPr>
      </w:pPr>
      <w:r>
        <w:rPr>
          <w:rFonts w:ascii="Times New Roman" w:cs="Times New Roman" w:eastAsia="Times New Roman" w:hAnsi="Times New Roman"/>
          <w:sz w:val="14"/>
          <w:szCs w:val="14"/>
          <w:color w:val="auto"/>
        </w:rPr>
        <w:t>As used herein, “Transaction Documents” means the Indenture, the supplemental indentures and officer’s certificates establishing the terms of the Debt Securities pursuant thereto, the Guarantees and any applicable underwriting or purchase agreement.</w:t>
      </w:r>
    </w:p>
    <w:p>
      <w:pPr>
        <w:spacing w:after="0" w:line="124" w:lineRule="exact"/>
        <w:rPr>
          <w:sz w:val="20"/>
          <w:szCs w:val="20"/>
          <w:color w:val="auto"/>
        </w:rPr>
      </w:pPr>
    </w:p>
    <w:p>
      <w:pPr>
        <w:ind w:left="160" w:right="219" w:firstLine="781"/>
        <w:spacing w:after="0" w:line="260" w:lineRule="auto"/>
        <w:rPr>
          <w:sz w:val="20"/>
          <w:szCs w:val="20"/>
          <w:color w:val="auto"/>
        </w:rPr>
      </w:pPr>
      <w:r>
        <w:rPr>
          <w:rFonts w:ascii="Times New Roman" w:cs="Times New Roman" w:eastAsia="Times New Roman" w:hAnsi="Times New Roman"/>
          <w:sz w:val="14"/>
          <w:szCs w:val="14"/>
          <w:color w:val="auto"/>
        </w:rPr>
        <w:t>The opinions stated in paragraphs 1 and 2 below presume that all of the following (collectively, the “general conditions”) shall have occurred prior to the issuance of the Securities referred to therein: (i) the Registration Statement, as finally amended (including all necessary post-effective amendments), has become effective under the Securities Act; (ii) an appropriate prospectus supplement or term sheet with respect to such Securities has been prepared, delivered and filed in compliance with the Securities Act and the applicable Rules and Regulations; (iii) the applicable Transaction Documents shall have been duly authorized, executed and delivered by the Company, the Guarantor and the other parties thereto, including, if such Securities are to</w:t>
      </w:r>
    </w:p>
    <w:p>
      <w:pPr>
        <w:sectPr>
          <w:pgSz w:w="11900" w:h="16838" w:orient="portrait"/>
          <w:cols w:equalWidth="0" w:num="1">
            <w:col w:w="9019"/>
          </w:cols>
          <w:pgMar w:left="1440" w:top="242" w:right="1440" w:bottom="1440" w:gutter="0" w:footer="0" w:header="0"/>
        </w:sectPr>
      </w:pPr>
    </w:p>
    <w:bookmarkStart w:id="118" w:name="page119"/>
    <w:bookmarkEnd w:id="118"/>
    <w:p>
      <w:pPr>
        <w:ind w:left="160"/>
        <w:spacing w:after="0"/>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5">
                      <a:extLst>
                        <a:ext uri="{28A0092B-C50C-407E-A947-70E740481C1C}"/>
                      </a:extLst>
                    </a:blip>
                    <a:srcRect/>
                    <a:stretch>
                      <a:fillRect/>
                    </a:stretch>
                  </pic:blipFill>
                  <pic:spPr bwMode="auto">
                    <a:xfrm>
                      <a:off x="0" y="0"/>
                      <a:ext cx="7200265" cy="33020"/>
                    </a:xfrm>
                    <a:prstGeom prst="rect">
                      <a:avLst/>
                    </a:prstGeom>
                    <a:noFill/>
                  </pic:spPr>
                </pic:pic>
              </a:graphicData>
            </a:graphic>
          </wp:anchor>
        </w:drawing>
        <w:t>Cemex, S.A.B. de C.V.</w:t>
      </w:r>
    </w:p>
    <w:p>
      <w:pPr>
        <w:spacing w:after="0" w:line="2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4"/>
          <w:szCs w:val="14"/>
          <w:color w:val="auto"/>
        </w:rPr>
        <w:t>June 1, 2026</w:t>
      </w:r>
    </w:p>
    <w:p>
      <w:pPr>
        <w:spacing w:after="0" w:line="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4"/>
          <w:szCs w:val="14"/>
          <w:color w:val="auto"/>
        </w:rPr>
        <w:t>Page 3</w:t>
      </w:r>
    </w:p>
    <w:p>
      <w:pPr>
        <w:spacing w:after="0" w:line="112" w:lineRule="exact"/>
        <w:rPr>
          <w:sz w:val="20"/>
          <w:szCs w:val="20"/>
          <w:color w:val="auto"/>
        </w:rPr>
      </w:pPr>
    </w:p>
    <w:p>
      <w:pPr>
        <w:ind w:left="160" w:right="219"/>
        <w:spacing w:after="0" w:line="258" w:lineRule="auto"/>
        <w:rPr>
          <w:sz w:val="20"/>
          <w:szCs w:val="20"/>
          <w:color w:val="auto"/>
        </w:rPr>
      </w:pPr>
      <w:r>
        <w:rPr>
          <w:rFonts w:ascii="Times New Roman" w:cs="Times New Roman" w:eastAsia="Times New Roman" w:hAnsi="Times New Roman"/>
          <w:sz w:val="14"/>
          <w:szCs w:val="14"/>
          <w:color w:val="auto"/>
        </w:rPr>
        <w:t>be sold or otherwise distributed pursuant to a firm commitment underwritten offering, the underwriting agreement or purchase agreement with respect thereto; (iv) the Board of Directors of the Company and the Guarantor, including any duly authorized committee thereof, shall have taken all necessary corporate action to approve the issuance and sale of such Securities and related matters and appropriate officers of the Company and the Guarantor have taken all related action as directed by or under the direction of the Board of Directors of the Company and the Guarantor; and (v) the terms of the applicable Transaction Documents and the issuance and sale of such Securities have been duly established in conformity with the organizational documents of the Company and the Guarantor so as not to violate any applicable law, or such organizational documents, or result in a default under or breach of any agreement or instrument binding upon the Company or the Guarantor or their respective properties, and so as to comply with any requirement or restriction imposed by any court or governmental body having jurisdiction over the Company or the Guarantor or their respective properties.</w:t>
      </w:r>
    </w:p>
    <w:p>
      <w:pPr>
        <w:spacing w:after="0" w:line="145"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4"/>
          <w:szCs w:val="14"/>
          <w:color w:val="auto"/>
        </w:rPr>
        <w:t>Based upon the foregoing and subject to the qualifications and assumptions stated herein, we are of the opinion that:</w:t>
      </w:r>
    </w:p>
    <w:p>
      <w:pPr>
        <w:spacing w:after="0" w:line="94" w:lineRule="exact"/>
        <w:rPr>
          <w:sz w:val="20"/>
          <w:szCs w:val="20"/>
          <w:color w:val="auto"/>
        </w:rPr>
      </w:pPr>
    </w:p>
    <w:p>
      <w:pPr>
        <w:ind w:left="160" w:right="239" w:firstLine="784"/>
        <w:spacing w:after="0" w:line="258" w:lineRule="auto"/>
        <w:tabs>
          <w:tab w:leader="none" w:pos="1083" w:val="left"/>
        </w:tabs>
        <w:numPr>
          <w:ilvl w:val="0"/>
          <w:numId w:val="1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With respect to any series of Debt Securities offered by the Company (the “Offered Debt Securities”), when (a) the general conditions shall have been satisfied, (b) the Indenture has been qualified under the Trust Indenture Act of 1939 (the “TIA”); (c) the issuance, sale and terms of the Offered Debt Securities and related matters have been approved and established in conformity with the applicable Transaction Documents and (d) the certificates evidencing the Offered Debt Securities have been issued in a form that complies with the provisions of the applicable Transaction Documents and have been duly executed and authenticated in accordance with the provisions of the Indenture and any other applicable Transaction Documents and issued and sold or otherwise distributed in accordance with the provisions of the applicable Transaction Document upon payment of the agreed-upon consideration therefor, the Offered Debt Securities will constitute valid and binding obligations of the Company, enforceable against the Company in accordance with their respective terms under the laws of the State of New York.</w:t>
      </w:r>
    </w:p>
    <w:p>
      <w:pPr>
        <w:spacing w:after="0" w:line="147" w:lineRule="exact"/>
        <w:rPr>
          <w:rFonts w:ascii="Times New Roman" w:cs="Times New Roman" w:eastAsia="Times New Roman" w:hAnsi="Times New Roman"/>
          <w:sz w:val="14"/>
          <w:szCs w:val="14"/>
          <w:color w:val="auto"/>
        </w:rPr>
      </w:pPr>
    </w:p>
    <w:p>
      <w:pPr>
        <w:ind w:left="160" w:right="199" w:firstLine="784"/>
        <w:spacing w:after="0" w:line="258" w:lineRule="auto"/>
        <w:tabs>
          <w:tab w:leader="none" w:pos="1083" w:val="left"/>
        </w:tabs>
        <w:numPr>
          <w:ilvl w:val="0"/>
          <w:numId w:val="1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With respect to any Guarantee of any series of Offered Debt Securities (the “Offered Guarantees”), when (a) the general conditions shall have been satisfied, (b) the Indenture has been qualified under the TIA, (c) the issuance, sale and terms of the Offered Guarantees and related matters have been approved and established in conformity with the applicable Transaction Documents, (d) certificates (if any) evidencing the Offered Guarantees and the certificates evidencing the Debt Securities guaranteed thereby have been duly executed and, if applicable, authenticated in accordance with the provisions of the Indenture and any other applicable Transaction Documents and (e) such Debt Securities have been issued and sold or otherwise distributed in accordance with the provisions of the applicable Transaction Document upon payment of the agreed-upon consideration therefor, the Offered Guarantees will constitute valid and binding obligations of the Guarantor, enforceable against the Guarantor in accordance with their respective terms under the laws of the State of New York.</w:t>
      </w:r>
    </w:p>
    <w:p>
      <w:pPr>
        <w:sectPr>
          <w:pgSz w:w="11900" w:h="16838" w:orient="portrait"/>
          <w:cols w:equalWidth="0" w:num="1">
            <w:col w:w="9019"/>
          </w:cols>
          <w:pgMar w:left="1440" w:top="242" w:right="1440" w:bottom="1440" w:gutter="0" w:footer="0" w:header="0"/>
        </w:sectPr>
      </w:pPr>
    </w:p>
    <w:bookmarkStart w:id="119" w:name="page120"/>
    <w:bookmarkEnd w:id="119"/>
    <w:p>
      <w:pPr>
        <w:ind w:left="160"/>
        <w:spacing w:after="0"/>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6">
                      <a:extLst>
                        <a:ext uri="{28A0092B-C50C-407E-A947-70E740481C1C}"/>
                      </a:extLst>
                    </a:blip>
                    <a:srcRect/>
                    <a:stretch>
                      <a:fillRect/>
                    </a:stretch>
                  </pic:blipFill>
                  <pic:spPr bwMode="auto">
                    <a:xfrm>
                      <a:off x="0" y="0"/>
                      <a:ext cx="7200265" cy="33020"/>
                    </a:xfrm>
                    <a:prstGeom prst="rect">
                      <a:avLst/>
                    </a:prstGeom>
                    <a:noFill/>
                  </pic:spPr>
                </pic:pic>
              </a:graphicData>
            </a:graphic>
          </wp:anchor>
        </w:drawing>
        <w:t>Cemex, S.A.B. de C.V.</w:t>
      </w:r>
    </w:p>
    <w:p>
      <w:pPr>
        <w:spacing w:after="0" w:line="2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4"/>
          <w:szCs w:val="14"/>
          <w:color w:val="auto"/>
        </w:rPr>
        <w:t>June 1, 2026</w:t>
      </w:r>
    </w:p>
    <w:p>
      <w:pPr>
        <w:spacing w:after="0" w:line="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4"/>
          <w:szCs w:val="14"/>
          <w:color w:val="auto"/>
        </w:rPr>
        <w:t>Page 4</w:t>
      </w:r>
    </w:p>
    <w:p>
      <w:pPr>
        <w:spacing w:after="0" w:line="112"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4"/>
          <w:szCs w:val="14"/>
          <w:color w:val="auto"/>
        </w:rPr>
        <w:t>The opinions stated herein are subject to the following assumptions and qualifications:</w:t>
      </w:r>
    </w:p>
    <w:p>
      <w:pPr>
        <w:spacing w:after="0" w:line="94" w:lineRule="exact"/>
        <w:rPr>
          <w:sz w:val="20"/>
          <w:szCs w:val="20"/>
          <w:color w:val="auto"/>
        </w:rPr>
      </w:pPr>
    </w:p>
    <w:p>
      <w:pPr>
        <w:jc w:val="both"/>
        <w:ind w:left="160" w:right="219" w:firstLine="784"/>
        <w:spacing w:after="0" w:line="265" w:lineRule="auto"/>
        <w:tabs>
          <w:tab w:leader="none" w:pos="1134" w:val="left"/>
        </w:tabs>
        <w:numPr>
          <w:ilvl w:val="0"/>
          <w:numId w:val="1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do not express any opinion with respect to the effect on the opinions stated herein of any bankruptcy, insolvency, reorganization, moratorium, fraudulent transfer, preference and other similar laws or governmental orders affecting creditors’ rights generally, and the opinions stated herein are limited by such laws and governmental orders and by general principles of equity (regardless of whether enforcement is sought in equity or at law);</w:t>
      </w:r>
    </w:p>
    <w:p>
      <w:pPr>
        <w:spacing w:after="0" w:line="140" w:lineRule="exact"/>
        <w:rPr>
          <w:rFonts w:ascii="Times New Roman" w:cs="Times New Roman" w:eastAsia="Times New Roman" w:hAnsi="Times New Roman"/>
          <w:sz w:val="14"/>
          <w:szCs w:val="14"/>
          <w:color w:val="auto"/>
        </w:rPr>
      </w:pPr>
    </w:p>
    <w:p>
      <w:pPr>
        <w:ind w:left="160" w:right="219" w:firstLine="784"/>
        <w:spacing w:after="0" w:line="271" w:lineRule="auto"/>
        <w:tabs>
          <w:tab w:leader="none" w:pos="1142" w:val="left"/>
        </w:tabs>
        <w:numPr>
          <w:ilvl w:val="0"/>
          <w:numId w:val="1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do not express any opinion with respect to any law, rule, regulation or order that is applicable to any party to any of the Transaction Documents or the transactions contemplated thereby solely because such law, rule, regulation or order is part of a regulatory regime applicable to any such party or any of its affiliates as a result of the specific assets or business operations of such party or such affiliates;</w:t>
      </w:r>
    </w:p>
    <w:p>
      <w:pPr>
        <w:spacing w:after="0" w:line="135" w:lineRule="exact"/>
        <w:rPr>
          <w:rFonts w:ascii="Times New Roman" w:cs="Times New Roman" w:eastAsia="Times New Roman" w:hAnsi="Times New Roman"/>
          <w:sz w:val="14"/>
          <w:szCs w:val="14"/>
          <w:color w:val="auto"/>
        </w:rPr>
      </w:pPr>
    </w:p>
    <w:p>
      <w:pPr>
        <w:ind w:left="160" w:right="399" w:firstLine="784"/>
        <w:spacing w:after="0" w:line="288" w:lineRule="auto"/>
        <w:tabs>
          <w:tab w:leader="none" w:pos="1134" w:val="left"/>
        </w:tabs>
        <w:numPr>
          <w:ilvl w:val="0"/>
          <w:numId w:val="1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except to the extent expressly stated in the opinions contained herein, we have assumed that each of the Transaction Documents constitutes the valid and binding obligation of each party to such Transaction Document, enforceable against such party in accordance with its terms;</w:t>
      </w:r>
    </w:p>
    <w:p>
      <w:pPr>
        <w:spacing w:after="0" w:line="124" w:lineRule="exact"/>
        <w:rPr>
          <w:rFonts w:ascii="Times New Roman" w:cs="Times New Roman" w:eastAsia="Times New Roman" w:hAnsi="Times New Roman"/>
          <w:sz w:val="14"/>
          <w:szCs w:val="14"/>
          <w:color w:val="auto"/>
        </w:rPr>
      </w:pPr>
    </w:p>
    <w:p>
      <w:pPr>
        <w:ind w:left="160" w:right="199" w:firstLine="784"/>
        <w:spacing w:after="0" w:line="265" w:lineRule="auto"/>
        <w:tabs>
          <w:tab w:leader="none" w:pos="1142" w:val="left"/>
        </w:tabs>
        <w:numPr>
          <w:ilvl w:val="0"/>
          <w:numId w:val="1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do not express any opinion with respect to the enforceability of any provision contained in any Transaction Document relating to any indemnification, contribution, non-reliance, exculpation, release, limitation or exclusion of remedies, waiver or other provisions having similar effect that may be contrary to public policy or violative of federal or state securities laws, rules, regulations or orders, or to the extent any such provision purports to waiver or alter, or has the effect of waiving or altering, any statute of limitations;</w:t>
      </w:r>
    </w:p>
    <w:p>
      <w:pPr>
        <w:spacing w:after="0" w:line="140" w:lineRule="exact"/>
        <w:rPr>
          <w:rFonts w:ascii="Times New Roman" w:cs="Times New Roman" w:eastAsia="Times New Roman" w:hAnsi="Times New Roman"/>
          <w:sz w:val="14"/>
          <w:szCs w:val="14"/>
          <w:color w:val="auto"/>
        </w:rPr>
      </w:pPr>
    </w:p>
    <w:p>
      <w:pPr>
        <w:ind w:left="160" w:right="279" w:firstLine="784"/>
        <w:spacing w:after="0" w:line="288" w:lineRule="auto"/>
        <w:tabs>
          <w:tab w:leader="none" w:pos="1134" w:val="left"/>
        </w:tabs>
        <w:numPr>
          <w:ilvl w:val="0"/>
          <w:numId w:val="1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do not express any opinion with respect to the enforceability of any provision of any Transaction Document to the extent that such section purports to bind the Company or the Guarantor to the exclusive jurisdiction of any particular federal court or courts;</w:t>
      </w:r>
    </w:p>
    <w:p>
      <w:pPr>
        <w:spacing w:after="0" w:line="124" w:lineRule="exact"/>
        <w:rPr>
          <w:rFonts w:ascii="Times New Roman" w:cs="Times New Roman" w:eastAsia="Times New Roman" w:hAnsi="Times New Roman"/>
          <w:sz w:val="14"/>
          <w:szCs w:val="14"/>
          <w:color w:val="auto"/>
        </w:rPr>
      </w:pPr>
    </w:p>
    <w:p>
      <w:pPr>
        <w:jc w:val="both"/>
        <w:ind w:left="160" w:right="359" w:firstLine="784"/>
        <w:spacing w:after="0" w:line="265" w:lineRule="auto"/>
        <w:tabs>
          <w:tab w:leader="none" w:pos="1118" w:val="left"/>
        </w:tabs>
        <w:numPr>
          <w:ilvl w:val="0"/>
          <w:numId w:val="1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call to your attention that irrespective of the agreement of the parties to any Transaction Document, a court may decline to hear a case on grounds of forum non conveniens or other doctrine limiting the availability of such court as a forum for resolution of disputes; in addition, we call to your attention that we do not express any opinion with respect to the subject matter jurisdiction of the federal courts of the United States of America in any action arising out of or relating to any Transaction Document;</w:t>
      </w:r>
    </w:p>
    <w:p>
      <w:pPr>
        <w:spacing w:after="0" w:line="140" w:lineRule="exact"/>
        <w:rPr>
          <w:rFonts w:ascii="Times New Roman" w:cs="Times New Roman" w:eastAsia="Times New Roman" w:hAnsi="Times New Roman"/>
          <w:sz w:val="14"/>
          <w:szCs w:val="14"/>
          <w:color w:val="auto"/>
        </w:rPr>
      </w:pPr>
    </w:p>
    <w:p>
      <w:pPr>
        <w:jc w:val="both"/>
        <w:ind w:left="160" w:right="339" w:firstLine="784"/>
        <w:spacing w:after="0" w:line="265" w:lineRule="auto"/>
        <w:tabs>
          <w:tab w:leader="none" w:pos="1142" w:val="left"/>
        </w:tabs>
        <w:numPr>
          <w:ilvl w:val="0"/>
          <w:numId w:val="1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opinions stated herein are limited to the agreements and documents specifically identified in the opinions contained herein (the “Specified Documents”) without regard to any agreement or other document referenced in any Specified Document (including agreements or other documents incorporated by reference or attached or annexed thereto) and without regard to any other agreement or document relating to any Specified Document that is not a Transaction Document;</w:t>
      </w:r>
    </w:p>
    <w:p>
      <w:pPr>
        <w:sectPr>
          <w:pgSz w:w="11900" w:h="16838" w:orient="portrait"/>
          <w:cols w:equalWidth="0" w:num="1">
            <w:col w:w="9019"/>
          </w:cols>
          <w:pgMar w:left="1440" w:top="242" w:right="1440" w:bottom="1440" w:gutter="0" w:footer="0" w:header="0"/>
        </w:sectPr>
      </w:pPr>
    </w:p>
    <w:bookmarkStart w:id="120" w:name="page121"/>
    <w:bookmarkEnd w:id="120"/>
    <w:p>
      <w:pPr>
        <w:ind w:left="160"/>
        <w:spacing w:after="0"/>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7">
                      <a:extLst>
                        <a:ext uri="{28A0092B-C50C-407E-A947-70E740481C1C}"/>
                      </a:extLst>
                    </a:blip>
                    <a:srcRect/>
                    <a:stretch>
                      <a:fillRect/>
                    </a:stretch>
                  </pic:blipFill>
                  <pic:spPr bwMode="auto">
                    <a:xfrm>
                      <a:off x="0" y="0"/>
                      <a:ext cx="7200265" cy="33020"/>
                    </a:xfrm>
                    <a:prstGeom prst="rect">
                      <a:avLst/>
                    </a:prstGeom>
                    <a:noFill/>
                  </pic:spPr>
                </pic:pic>
              </a:graphicData>
            </a:graphic>
          </wp:anchor>
        </w:drawing>
        <w:t>Cemex, S.A.B. de C.V.</w:t>
      </w:r>
    </w:p>
    <w:p>
      <w:pPr>
        <w:spacing w:after="0" w:line="2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4"/>
          <w:szCs w:val="14"/>
          <w:color w:val="auto"/>
        </w:rPr>
        <w:t>June 1, 2026</w:t>
      </w:r>
    </w:p>
    <w:p>
      <w:pPr>
        <w:spacing w:after="0" w:line="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4"/>
          <w:szCs w:val="14"/>
          <w:color w:val="auto"/>
        </w:rPr>
        <w:t>Page 5</w:t>
      </w:r>
    </w:p>
    <w:p>
      <w:pPr>
        <w:spacing w:after="0" w:line="112" w:lineRule="exact"/>
        <w:rPr>
          <w:sz w:val="20"/>
          <w:szCs w:val="20"/>
          <w:color w:val="auto"/>
        </w:rPr>
      </w:pPr>
    </w:p>
    <w:p>
      <w:pPr>
        <w:ind w:left="160" w:right="319" w:firstLine="784"/>
        <w:spacing w:after="0" w:line="271" w:lineRule="auto"/>
        <w:tabs>
          <w:tab w:leader="none" w:pos="1142" w:val="left"/>
        </w:tabs>
        <w:numPr>
          <w:ilvl w:val="0"/>
          <w:numId w:val="1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have assumed that any agent of service will have accepted appointment as agent to receive service of process and call to your attention that we do not express any opinion if and to the extent such agent shall resign such appointment. Further, we do not express any opinion with respect to the irrevocability of the designation of such agent to receive service of process;</w:t>
      </w:r>
    </w:p>
    <w:p>
      <w:pPr>
        <w:spacing w:after="0" w:line="135" w:lineRule="exact"/>
        <w:rPr>
          <w:rFonts w:ascii="Times New Roman" w:cs="Times New Roman" w:eastAsia="Times New Roman" w:hAnsi="Times New Roman"/>
          <w:sz w:val="14"/>
          <w:szCs w:val="14"/>
          <w:color w:val="auto"/>
        </w:rPr>
      </w:pPr>
    </w:p>
    <w:p>
      <w:pPr>
        <w:ind w:left="160" w:right="659" w:firstLine="784"/>
        <w:spacing w:after="0" w:line="271" w:lineRule="auto"/>
        <w:tabs>
          <w:tab w:leader="none" w:pos="1111" w:val="left"/>
        </w:tabs>
        <w:numPr>
          <w:ilvl w:val="0"/>
          <w:numId w:val="1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subsequent to the effectiveness of the Indenture and immediately prior to the issuance of any series Offered Debt Securities, the Indenture has not been amended, restated, supplemented or otherwise modified in any way that affects or relates to such series of Offered Debt Securities other than by the applicable Transaction Documents relating to such series of Offered Debt Securities;</w:t>
      </w:r>
    </w:p>
    <w:p>
      <w:pPr>
        <w:spacing w:after="0" w:line="135" w:lineRule="exact"/>
        <w:rPr>
          <w:rFonts w:ascii="Times New Roman" w:cs="Times New Roman" w:eastAsia="Times New Roman" w:hAnsi="Times New Roman"/>
          <w:sz w:val="14"/>
          <w:szCs w:val="14"/>
          <w:color w:val="auto"/>
        </w:rPr>
      </w:pPr>
    </w:p>
    <w:p>
      <w:pPr>
        <w:ind w:left="160" w:right="359" w:firstLine="784"/>
        <w:spacing w:after="0" w:line="288" w:lineRule="auto"/>
        <w:tabs>
          <w:tab w:leader="none" w:pos="1111" w:val="left"/>
        </w:tabs>
        <w:numPr>
          <w:ilvl w:val="0"/>
          <w:numId w:val="1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this opinion letter shall be interpreted in accordance with customary practice of United States lawyers who regularly give opinions in transactions of this type;</w:t>
      </w:r>
    </w:p>
    <w:p>
      <w:pPr>
        <w:spacing w:after="0" w:line="124" w:lineRule="exact"/>
        <w:rPr>
          <w:rFonts w:ascii="Times New Roman" w:cs="Times New Roman" w:eastAsia="Times New Roman" w:hAnsi="Times New Roman"/>
          <w:sz w:val="14"/>
          <w:szCs w:val="14"/>
          <w:color w:val="auto"/>
        </w:rPr>
      </w:pPr>
    </w:p>
    <w:p>
      <w:pPr>
        <w:ind w:left="160" w:right="679" w:firstLine="784"/>
        <w:spacing w:after="0" w:line="288" w:lineRule="auto"/>
        <w:tabs>
          <w:tab w:leader="none" w:pos="1142" w:val="left"/>
        </w:tabs>
        <w:numPr>
          <w:ilvl w:val="0"/>
          <w:numId w:val="1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have assumed that the laws of the State of New York law will be chosen to govern any Transaction Documents entered into subsequent to the date hereof and that such choice is and will be a valid and legal provision;</w:t>
      </w:r>
    </w:p>
    <w:p>
      <w:pPr>
        <w:spacing w:after="0" w:line="124" w:lineRule="exact"/>
        <w:rPr>
          <w:rFonts w:ascii="Times New Roman" w:cs="Times New Roman" w:eastAsia="Times New Roman" w:hAnsi="Times New Roman"/>
          <w:sz w:val="14"/>
          <w:szCs w:val="14"/>
          <w:color w:val="auto"/>
        </w:rPr>
      </w:pPr>
    </w:p>
    <w:p>
      <w:pPr>
        <w:ind w:left="1120" w:hanging="176"/>
        <w:spacing w:after="0"/>
        <w:tabs>
          <w:tab w:leader="none" w:pos="1120" w:val="left"/>
        </w:tabs>
        <w:numPr>
          <w:ilvl w:val="0"/>
          <w:numId w:val="1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have assumed that the Indenture will be duly authorized, executed and delivered by the trustee in substantially the form reviewed by</w:t>
      </w:r>
    </w:p>
    <w:p>
      <w:pPr>
        <w:spacing w:after="0" w:line="23" w:lineRule="exact"/>
        <w:rPr>
          <w:rFonts w:ascii="Times New Roman" w:cs="Times New Roman" w:eastAsia="Times New Roman" w:hAnsi="Times New Roman"/>
          <w:sz w:val="14"/>
          <w:szCs w:val="14"/>
          <w:color w:val="auto"/>
        </w:rPr>
      </w:pPr>
    </w:p>
    <w:p>
      <w:pPr>
        <w:ind w:left="16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us;</w:t>
      </w:r>
    </w:p>
    <w:p>
      <w:pPr>
        <w:spacing w:after="0" w:line="165" w:lineRule="exact"/>
        <w:rPr>
          <w:rFonts w:ascii="Times New Roman" w:cs="Times New Roman" w:eastAsia="Times New Roman" w:hAnsi="Times New Roman"/>
          <w:sz w:val="14"/>
          <w:szCs w:val="14"/>
          <w:color w:val="auto"/>
        </w:rPr>
      </w:pPr>
    </w:p>
    <w:p>
      <w:pPr>
        <w:ind w:left="160" w:right="219" w:firstLine="784"/>
        <w:spacing w:after="0" w:line="271" w:lineRule="auto"/>
        <w:tabs>
          <w:tab w:leader="none" w:pos="1181" w:val="left"/>
        </w:tabs>
        <w:numPr>
          <w:ilvl w:val="0"/>
          <w:numId w:val="1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do not express any opinion with respect to the enforceability of any provisions contained in the Offered Guarantees or the related Transaction Documents to the extent that such provisions provide that the obligations of the Guarantor are absolute and unconditional irrespective of the enforceability or genuineness of the Indenture or the effect thereof on the opinions herein stated;</w:t>
      </w:r>
    </w:p>
    <w:p>
      <w:pPr>
        <w:spacing w:after="0" w:line="135" w:lineRule="exact"/>
        <w:rPr>
          <w:rFonts w:ascii="Times New Roman" w:cs="Times New Roman" w:eastAsia="Times New Roman" w:hAnsi="Times New Roman"/>
          <w:sz w:val="14"/>
          <w:szCs w:val="14"/>
          <w:color w:val="auto"/>
        </w:rPr>
      </w:pPr>
    </w:p>
    <w:p>
      <w:pPr>
        <w:ind w:left="160" w:right="319" w:firstLine="784"/>
        <w:spacing w:after="0" w:line="288" w:lineRule="auto"/>
        <w:tabs>
          <w:tab w:leader="none" w:pos="1142" w:val="left"/>
        </w:tabs>
        <w:numPr>
          <w:ilvl w:val="0"/>
          <w:numId w:val="1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call to your attention that the opinions stated herein are subject to possible judicial action giving effect to governmental actions or laws of jurisdictions other than those with respect to which we express our opinion;</w:t>
      </w:r>
    </w:p>
    <w:p>
      <w:pPr>
        <w:spacing w:after="0" w:line="124" w:lineRule="exact"/>
        <w:rPr>
          <w:rFonts w:ascii="Times New Roman" w:cs="Times New Roman" w:eastAsia="Times New Roman" w:hAnsi="Times New Roman"/>
          <w:sz w:val="14"/>
          <w:szCs w:val="14"/>
          <w:color w:val="auto"/>
        </w:rPr>
      </w:pPr>
    </w:p>
    <w:p>
      <w:pPr>
        <w:ind w:left="160" w:right="199" w:firstLine="784"/>
        <w:spacing w:after="0" w:line="271" w:lineRule="auto"/>
        <w:tabs>
          <w:tab w:leader="none" w:pos="1142" w:val="left"/>
        </w:tabs>
        <w:numPr>
          <w:ilvl w:val="0"/>
          <w:numId w:val="1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do not express any opinion with respect to the enforceability of any provision contained in any Transaction Document providing for indemnity by any party thereto against any loss in obtaining the currency due to such party under any Transaction Document from a court judgment in another currency;</w:t>
      </w:r>
    </w:p>
    <w:p>
      <w:pPr>
        <w:spacing w:after="0" w:line="135" w:lineRule="exact"/>
        <w:rPr>
          <w:rFonts w:ascii="Times New Roman" w:cs="Times New Roman" w:eastAsia="Times New Roman" w:hAnsi="Times New Roman"/>
          <w:sz w:val="14"/>
          <w:szCs w:val="14"/>
          <w:color w:val="auto"/>
        </w:rPr>
      </w:pPr>
    </w:p>
    <w:p>
      <w:pPr>
        <w:jc w:val="both"/>
        <w:ind w:left="160" w:right="439" w:firstLine="784"/>
        <w:spacing w:after="0" w:line="265" w:lineRule="auto"/>
        <w:tabs>
          <w:tab w:leader="none" w:pos="1142" w:val="left"/>
        </w:tabs>
        <w:numPr>
          <w:ilvl w:val="0"/>
          <w:numId w:val="1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the extent that any opinion relates to the enforceability of the choice of New York law and choice of New York forum provisions contained in any Transaction Document, the opinions stated herein are subject to the qualification that such enforceability may be subject to, in each case, (i) the exceptions and limitations in New York General Obligations Law Sections 5-1401 and 5-1402 and (ii) principles of comity and constitutionality;</w:t>
      </w:r>
    </w:p>
    <w:p>
      <w:pPr>
        <w:sectPr>
          <w:pgSz w:w="11900" w:h="16838" w:orient="portrait"/>
          <w:cols w:equalWidth="0" w:num="1">
            <w:col w:w="9019"/>
          </w:cols>
          <w:pgMar w:left="1440" w:top="242" w:right="1440" w:bottom="1440" w:gutter="0" w:footer="0" w:header="0"/>
        </w:sectPr>
      </w:pPr>
    </w:p>
    <w:bookmarkStart w:id="121" w:name="page122"/>
    <w:bookmarkEnd w:id="121"/>
    <w:p>
      <w:pPr>
        <w:ind w:left="160"/>
        <w:spacing w:after="0"/>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8">
                      <a:extLst>
                        <a:ext uri="{28A0092B-C50C-407E-A947-70E740481C1C}"/>
                      </a:extLst>
                    </a:blip>
                    <a:srcRect/>
                    <a:stretch>
                      <a:fillRect/>
                    </a:stretch>
                  </pic:blipFill>
                  <pic:spPr bwMode="auto">
                    <a:xfrm>
                      <a:off x="0" y="0"/>
                      <a:ext cx="7200265" cy="33020"/>
                    </a:xfrm>
                    <a:prstGeom prst="rect">
                      <a:avLst/>
                    </a:prstGeom>
                    <a:noFill/>
                  </pic:spPr>
                </pic:pic>
              </a:graphicData>
            </a:graphic>
          </wp:anchor>
        </w:drawing>
        <w:t>Cemex, S.A.B. de C.V.</w:t>
      </w:r>
    </w:p>
    <w:p>
      <w:pPr>
        <w:spacing w:after="0" w:line="2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4"/>
          <w:szCs w:val="14"/>
          <w:color w:val="auto"/>
        </w:rPr>
        <w:t>June 1, 2026</w:t>
      </w:r>
    </w:p>
    <w:p>
      <w:pPr>
        <w:spacing w:after="0" w:line="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4"/>
          <w:szCs w:val="14"/>
          <w:color w:val="auto"/>
        </w:rPr>
        <w:t>Page 6</w:t>
      </w:r>
    </w:p>
    <w:p>
      <w:pPr>
        <w:spacing w:after="0" w:line="112"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4"/>
          <w:szCs w:val="14"/>
          <w:color w:val="auto"/>
        </w:rPr>
        <w:t>In addition, in rendering the foregoing opinions we have also assumed that:</w:t>
      </w:r>
    </w:p>
    <w:p>
      <w:pPr>
        <w:spacing w:after="0" w:line="94" w:lineRule="exact"/>
        <w:rPr>
          <w:sz w:val="20"/>
          <w:szCs w:val="20"/>
          <w:color w:val="auto"/>
        </w:rPr>
      </w:pPr>
    </w:p>
    <w:p>
      <w:pPr>
        <w:jc w:val="both"/>
        <w:ind w:left="160" w:right="199" w:firstLine="784"/>
        <w:spacing w:after="0" w:line="265" w:lineRule="auto"/>
        <w:tabs>
          <w:tab w:leader="none" w:pos="1134" w:val="left"/>
        </w:tabs>
        <w:numPr>
          <w:ilvl w:val="0"/>
          <w:numId w:val="1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(i) is duly incorporated and is validly existing and in good standing, (ii) has requisite legal status and legal capacity under the laws of the jurisdiction of its organization and (iii) has complied and will comply with all aspects of the laws of the jurisdiction of its organization in connection with the transactions contemplated by, and the performance of its obligations under, the Transaction Documents to which the Company is a party;</w:t>
      </w:r>
    </w:p>
    <w:p>
      <w:pPr>
        <w:spacing w:after="0" w:line="140" w:lineRule="exact"/>
        <w:rPr>
          <w:rFonts w:ascii="Times New Roman" w:cs="Times New Roman" w:eastAsia="Times New Roman" w:hAnsi="Times New Roman"/>
          <w:sz w:val="14"/>
          <w:szCs w:val="14"/>
          <w:color w:val="auto"/>
        </w:rPr>
      </w:pPr>
    </w:p>
    <w:p>
      <w:pPr>
        <w:ind w:left="160" w:right="399" w:firstLine="784"/>
        <w:spacing w:after="0" w:line="288" w:lineRule="auto"/>
        <w:tabs>
          <w:tab w:leader="none" w:pos="1142" w:val="left"/>
        </w:tabs>
        <w:numPr>
          <w:ilvl w:val="0"/>
          <w:numId w:val="1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has the corporate power and authority to execute, deliver and perform all its obligations under each of the Transaction Documents to which the Company is a party;</w:t>
      </w:r>
    </w:p>
    <w:p>
      <w:pPr>
        <w:spacing w:after="0" w:line="124" w:lineRule="exact"/>
        <w:rPr>
          <w:rFonts w:ascii="Times New Roman" w:cs="Times New Roman" w:eastAsia="Times New Roman" w:hAnsi="Times New Roman"/>
          <w:sz w:val="14"/>
          <w:szCs w:val="14"/>
          <w:color w:val="auto"/>
        </w:rPr>
      </w:pPr>
    </w:p>
    <w:p>
      <w:pPr>
        <w:ind w:left="160" w:right="239" w:firstLine="784"/>
        <w:spacing w:after="0" w:line="259" w:lineRule="auto"/>
        <w:tabs>
          <w:tab w:leader="none" w:pos="1134" w:val="left"/>
        </w:tabs>
        <w:numPr>
          <w:ilvl w:val="0"/>
          <w:numId w:val="1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neither the execution and delivery by the Company and the Guarantor of the Transaction Documents to which the Company or the Guarantor is a part nor the performance by the Company and the Guarantor of its obligations thereunder, including the issuance and sale of the applicable Securities: (i) conflicts or will conflict with the certificate of incorporation or by-laws of the Company or the Guarantor, (ii) constitutes or will constitute a violation of, or a default under, any lease, indenture, agreement or other instrument to which the Company or the Guarantor or its property is subject, (iii) contravenes or will contravene any order or decree of any governmental authority to which the Company or the Guarantor or its property is subject, or (iv) violates or will violate any law, rule or regulation to which the Company or the Guarantor or its property is subject (except that we do not make the assumption set forth in this clause (iv) with respect to the laws of the State of New York); and</w:t>
      </w:r>
    </w:p>
    <w:p>
      <w:pPr>
        <w:spacing w:after="0" w:line="145" w:lineRule="exact"/>
        <w:rPr>
          <w:rFonts w:ascii="Times New Roman" w:cs="Times New Roman" w:eastAsia="Times New Roman" w:hAnsi="Times New Roman"/>
          <w:sz w:val="14"/>
          <w:szCs w:val="14"/>
          <w:color w:val="auto"/>
        </w:rPr>
      </w:pPr>
    </w:p>
    <w:p>
      <w:pPr>
        <w:ind w:left="160" w:right="579" w:firstLine="784"/>
        <w:spacing w:after="0" w:line="265" w:lineRule="auto"/>
        <w:tabs>
          <w:tab w:leader="none" w:pos="1142" w:val="left"/>
        </w:tabs>
        <w:numPr>
          <w:ilvl w:val="0"/>
          <w:numId w:val="1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neither the execution and delivery by the Company or the Guarantor of the Transaction Documents to which the Company or the Guarantor is a party nor the performance by the Company and the Guarantor of its obligations thereunder, including the issuance and sale of the applicable Securities, requires or will require the consent, approval, licensing or authorization of, or any filing, recording or registration with, any governmental authority under any law, rule or regulation of any jurisdiction.</w:t>
      </w:r>
    </w:p>
    <w:p>
      <w:pPr>
        <w:spacing w:after="0" w:line="140" w:lineRule="exact"/>
        <w:rPr>
          <w:sz w:val="20"/>
          <w:szCs w:val="20"/>
          <w:color w:val="auto"/>
        </w:rPr>
      </w:pPr>
    </w:p>
    <w:p>
      <w:pPr>
        <w:ind w:left="160" w:right="219" w:firstLine="781"/>
        <w:spacing w:after="0" w:line="262" w:lineRule="auto"/>
        <w:rPr>
          <w:sz w:val="20"/>
          <w:szCs w:val="20"/>
          <w:color w:val="auto"/>
        </w:rPr>
      </w:pPr>
      <w:r>
        <w:rPr>
          <w:rFonts w:ascii="Times New Roman" w:cs="Times New Roman" w:eastAsia="Times New Roman" w:hAnsi="Times New Roman"/>
          <w:sz w:val="14"/>
          <w:szCs w:val="14"/>
          <w:color w:val="auto"/>
        </w:rPr>
        <w:t>We hereby consent to the reference to our firm under the heading “Legal Matters” in the prospectus forming part of the Registration Statement. We also hereby consent to the filing of this opinion letter with the Commission as an exhibit to the Registration Statement. In giving this consent, we do not thereby admit that we are within the category of persons whose consent is required under Section 7 of the Securities Act or the Rules and Regulations. This opinion letter is expressed as of the date hereof unless otherwise expressly stated, and we disclaim any undertaking to advise you of any subsequent changes in the facts stated or assumed herein or of any subsequent changes in applicable laws.</w:t>
      </w:r>
    </w:p>
    <w:p>
      <w:pPr>
        <w:spacing w:after="0" w:line="164" w:lineRule="exact"/>
        <w:rPr>
          <w:sz w:val="20"/>
          <w:szCs w:val="20"/>
          <w:color w:val="auto"/>
        </w:rPr>
      </w:pPr>
    </w:p>
    <w:p>
      <w:pPr>
        <w:jc w:val="center"/>
        <w:ind w:left="5200"/>
        <w:spacing w:after="0"/>
        <w:rPr>
          <w:sz w:val="20"/>
          <w:szCs w:val="20"/>
          <w:color w:val="auto"/>
        </w:rPr>
      </w:pPr>
      <w:r>
        <w:rPr>
          <w:rFonts w:ascii="Times New Roman" w:cs="Times New Roman" w:eastAsia="Times New Roman" w:hAnsi="Times New Roman"/>
          <w:sz w:val="14"/>
          <w:szCs w:val="14"/>
          <w:color w:val="auto"/>
        </w:rPr>
        <w:t>Very truly yours,</w:t>
      </w:r>
    </w:p>
    <w:p>
      <w:pPr>
        <w:spacing w:after="0" w:line="179" w:lineRule="exact"/>
        <w:rPr>
          <w:sz w:val="20"/>
          <w:szCs w:val="20"/>
          <w:color w:val="auto"/>
        </w:rPr>
      </w:pPr>
    </w:p>
    <w:p>
      <w:pPr>
        <w:ind w:left="5760"/>
        <w:spacing w:after="0"/>
        <w:rPr>
          <w:sz w:val="20"/>
          <w:szCs w:val="20"/>
          <w:color w:val="auto"/>
        </w:rPr>
      </w:pPr>
      <w:r>
        <w:rPr>
          <w:rFonts w:ascii="Times New Roman" w:cs="Times New Roman" w:eastAsia="Times New Roman" w:hAnsi="Times New Roman"/>
          <w:sz w:val="14"/>
          <w:szCs w:val="14"/>
          <w:color w:val="auto"/>
        </w:rPr>
        <w:t>/s/ Skadden, Arps, Slate, Meagher &amp; Flom LLP</w:t>
      </w:r>
    </w:p>
    <w:p>
      <w:pPr>
        <w:spacing w:after="0" w:line="26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4"/>
          <w:szCs w:val="14"/>
          <w:color w:val="auto"/>
        </w:rPr>
        <w:t>GAF</w:t>
      </w:r>
    </w:p>
    <w:p>
      <w:pPr>
        <w:sectPr>
          <w:pgSz w:w="11900" w:h="16838" w:orient="portrait"/>
          <w:cols w:equalWidth="0" w:num="1">
            <w:col w:w="9019"/>
          </w:cols>
          <w:pgMar w:left="1440" w:top="242" w:right="1440" w:bottom="1440" w:gutter="0" w:footer="0" w:header="0"/>
        </w:sectPr>
      </w:pPr>
    </w:p>
    <w:bookmarkStart w:id="122" w:name="page123"/>
    <w:bookmarkEnd w:id="122"/>
    <w:p>
      <w:pPr>
        <w:jc w:val="right"/>
        <w:ind w:right="179"/>
        <w:spacing w:after="0"/>
        <w:rPr>
          <w:sz w:val="20"/>
          <w:szCs w:val="20"/>
          <w:color w:val="auto"/>
        </w:rPr>
      </w:pPr>
      <w:r>
        <w:rPr>
          <w:rFonts w:ascii="Times New Roman" w:cs="Times New Roman" w:eastAsia="Times New Roman" w:hAnsi="Times New Roman"/>
          <w:sz w:val="14"/>
          <w:szCs w:val="14"/>
          <w:b w:val="1"/>
          <w:bCs w:val="1"/>
          <w:color w:val="auto"/>
        </w:rPr>
        <w:t>Exhibit 22.1</w:t>
      </w:r>
    </w:p>
    <w:p>
      <w:pPr>
        <w:spacing w:after="0" w:line="1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SUBSIDIARY GUARANTOR OF GUARANTEED SECURITIES</w:t>
      </w:r>
    </w:p>
    <w:p>
      <w:pPr>
        <w:spacing w:after="0" w:line="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u w:val="single" w:color="auto"/>
          <w:color w:val="auto"/>
        </w:rPr>
        <w:t>June 1, 2026</w:t>
      </w:r>
    </w:p>
    <w:p>
      <w:pPr>
        <w:spacing w:after="0" w:line="177" w:lineRule="exact"/>
        <w:rPr>
          <w:sz w:val="20"/>
          <w:szCs w:val="20"/>
          <w:color w:val="auto"/>
        </w:rPr>
      </w:pPr>
    </w:p>
    <w:p>
      <w:pPr>
        <w:ind w:left="160" w:right="579" w:firstLine="347"/>
        <w:spacing w:after="0" w:line="291" w:lineRule="auto"/>
        <w:rPr>
          <w:sz w:val="20"/>
          <w:szCs w:val="20"/>
          <w:color w:val="auto"/>
        </w:rPr>
      </w:pPr>
      <w:r>
        <w:rPr>
          <w:rFonts w:ascii="Times New Roman" w:cs="Times New Roman" w:eastAsia="Times New Roman" w:hAnsi="Times New Roman"/>
          <w:sz w:val="14"/>
          <w:szCs w:val="14"/>
          <w:color w:val="auto"/>
        </w:rPr>
        <w:t>The following subsidiary of Cemex, S.A.B. de C.V., a publicly traded stock corporation with variable capital (</w:t>
      </w:r>
      <w:r>
        <w:rPr>
          <w:rFonts w:ascii="Times New Roman" w:cs="Times New Roman" w:eastAsia="Times New Roman" w:hAnsi="Times New Roman"/>
          <w:sz w:val="14"/>
          <w:szCs w:val="14"/>
          <w:i w:val="1"/>
          <w:iCs w:val="1"/>
          <w:color w:val="auto"/>
        </w:rPr>
        <w:t>sociedad anónima bursátil de</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capital variable</w:t>
      </w:r>
      <w:r>
        <w:rPr>
          <w:rFonts w:ascii="Times New Roman" w:cs="Times New Roman" w:eastAsia="Times New Roman" w:hAnsi="Times New Roman"/>
          <w:sz w:val="14"/>
          <w:szCs w:val="14"/>
          <w:color w:val="auto"/>
        </w:rPr>
        <w:t>), organized under the laws of the United Mexican States (“Cemex”), is a guarantor of Cemex’s registered debt securities.</w:t>
      </w:r>
    </w:p>
    <w:p>
      <w:pPr>
        <w:spacing w:after="0" w:line="130" w:lineRule="exact"/>
        <w:rPr>
          <w:sz w:val="20"/>
          <w:szCs w:val="20"/>
          <w:color w:val="auto"/>
        </w:rPr>
      </w:pPr>
    </w:p>
    <w:tbl>
      <w:tblPr>
        <w:tblLayout w:type="fixed"/>
        <w:tblInd w:w="1200" w:type="dxa"/>
        <w:tblCellMar>
          <w:top w:w="0" w:type="dxa"/>
          <w:left w:w="0" w:type="dxa"/>
          <w:bottom w:w="0" w:type="dxa"/>
          <w:right w:w="0" w:type="dxa"/>
        </w:tblCellMar>
      </w:tblPr>
      <w:tr>
        <w:trPr>
          <w:trHeight w:val="126"/>
        </w:trPr>
        <w:tc>
          <w:tcPr>
            <w:tcW w:w="300" w:type="dxa"/>
            <w:vAlign w:val="bottom"/>
          </w:tcPr>
          <w:p>
            <w:pPr>
              <w:spacing w:after="0"/>
              <w:rPr>
                <w:sz w:val="11"/>
                <w:szCs w:val="11"/>
                <w:color w:val="auto"/>
              </w:rPr>
            </w:pPr>
          </w:p>
        </w:tc>
        <w:tc>
          <w:tcPr>
            <w:tcW w:w="4360" w:type="dxa"/>
            <w:vAlign w:val="bottom"/>
          </w:tcPr>
          <w:p>
            <w:pPr>
              <w:spacing w:after="0"/>
              <w:rPr>
                <w:sz w:val="11"/>
                <w:szCs w:val="11"/>
                <w:color w:val="auto"/>
              </w:rPr>
            </w:pPr>
          </w:p>
        </w:tc>
        <w:tc>
          <w:tcPr>
            <w:tcW w:w="1240" w:type="dxa"/>
            <w:vAlign w:val="bottom"/>
            <w:gridSpan w:val="2"/>
            <w:vMerge w:val="restart"/>
          </w:tcPr>
          <w:p>
            <w:pPr>
              <w:jc w:val="center"/>
              <w:ind w:right="420"/>
              <w:spacing w:after="0"/>
              <w:rPr>
                <w:sz w:val="20"/>
                <w:szCs w:val="20"/>
                <w:color w:val="auto"/>
              </w:rPr>
            </w:pPr>
            <w:r>
              <w:rPr>
                <w:rFonts w:ascii="Times New Roman" w:cs="Times New Roman" w:eastAsia="Times New Roman" w:hAnsi="Times New Roman"/>
                <w:sz w:val="11"/>
                <w:szCs w:val="11"/>
                <w:b w:val="1"/>
                <w:bCs w:val="1"/>
                <w:color w:val="auto"/>
              </w:rPr>
              <w:t>State or Country</w:t>
            </w:r>
          </w:p>
        </w:tc>
        <w:tc>
          <w:tcPr>
            <w:tcW w:w="700" w:type="dxa"/>
            <w:vAlign w:val="bottom"/>
            <w:gridSpan w:val="2"/>
          </w:tcPr>
          <w:p>
            <w:pPr>
              <w:jc w:val="center"/>
              <w:ind w:right="160"/>
              <w:spacing w:after="0"/>
              <w:rPr>
                <w:sz w:val="20"/>
                <w:szCs w:val="20"/>
                <w:color w:val="auto"/>
              </w:rPr>
            </w:pPr>
            <w:r>
              <w:rPr>
                <w:rFonts w:ascii="Times New Roman" w:cs="Times New Roman" w:eastAsia="Times New Roman" w:hAnsi="Times New Roman"/>
                <w:sz w:val="11"/>
                <w:szCs w:val="11"/>
                <w:b w:val="1"/>
                <w:bCs w:val="1"/>
                <w:color w:val="auto"/>
              </w:rPr>
              <w:t>Percentage</w:t>
            </w:r>
          </w:p>
        </w:tc>
        <w:tc>
          <w:tcPr>
            <w:tcW w:w="0" w:type="dxa"/>
            <w:vAlign w:val="bottom"/>
          </w:tcPr>
          <w:p>
            <w:pPr>
              <w:spacing w:after="0"/>
              <w:rPr>
                <w:sz w:val="1"/>
                <w:szCs w:val="1"/>
                <w:color w:val="auto"/>
              </w:rPr>
            </w:pPr>
          </w:p>
        </w:tc>
      </w:tr>
      <w:tr>
        <w:trPr>
          <w:trHeight w:val="117"/>
        </w:trPr>
        <w:tc>
          <w:tcPr>
            <w:tcW w:w="300" w:type="dxa"/>
            <w:vAlign w:val="bottom"/>
          </w:tcPr>
          <w:p>
            <w:pPr>
              <w:spacing w:after="0"/>
              <w:rPr>
                <w:sz w:val="10"/>
                <w:szCs w:val="10"/>
                <w:color w:val="auto"/>
              </w:rPr>
            </w:pPr>
          </w:p>
        </w:tc>
        <w:tc>
          <w:tcPr>
            <w:tcW w:w="4360" w:type="dxa"/>
            <w:vAlign w:val="bottom"/>
          </w:tcPr>
          <w:p>
            <w:pPr>
              <w:spacing w:after="0"/>
              <w:rPr>
                <w:sz w:val="10"/>
                <w:szCs w:val="10"/>
                <w:color w:val="auto"/>
              </w:rPr>
            </w:pPr>
          </w:p>
        </w:tc>
        <w:tc>
          <w:tcPr>
            <w:tcW w:w="1240" w:type="dxa"/>
            <w:vAlign w:val="bottom"/>
            <w:gridSpan w:val="2"/>
            <w:vMerge w:val="continue"/>
          </w:tcPr>
          <w:p>
            <w:pPr>
              <w:spacing w:after="0"/>
              <w:rPr>
                <w:sz w:val="10"/>
                <w:szCs w:val="10"/>
                <w:color w:val="auto"/>
              </w:rPr>
            </w:pPr>
          </w:p>
        </w:tc>
        <w:tc>
          <w:tcPr>
            <w:tcW w:w="700" w:type="dxa"/>
            <w:vAlign w:val="bottom"/>
            <w:gridSpan w:val="2"/>
          </w:tcPr>
          <w:p>
            <w:pPr>
              <w:jc w:val="center"/>
              <w:ind w:right="160"/>
              <w:spacing w:after="0" w:line="118" w:lineRule="exact"/>
              <w:rPr>
                <w:sz w:val="20"/>
                <w:szCs w:val="20"/>
                <w:color w:val="auto"/>
              </w:rPr>
            </w:pPr>
            <w:r>
              <w:rPr>
                <w:rFonts w:ascii="Times New Roman" w:cs="Times New Roman" w:eastAsia="Times New Roman" w:hAnsi="Times New Roman"/>
                <w:sz w:val="11"/>
                <w:szCs w:val="11"/>
                <w:b w:val="1"/>
                <w:bCs w:val="1"/>
                <w:color w:val="auto"/>
              </w:rPr>
              <w:t>Ownership</w:t>
            </w:r>
          </w:p>
        </w:tc>
        <w:tc>
          <w:tcPr>
            <w:tcW w:w="0" w:type="dxa"/>
            <w:vAlign w:val="bottom"/>
          </w:tcPr>
          <w:p>
            <w:pPr>
              <w:spacing w:after="0"/>
              <w:rPr>
                <w:sz w:val="1"/>
                <w:szCs w:val="1"/>
                <w:color w:val="auto"/>
              </w:rPr>
            </w:pPr>
          </w:p>
        </w:tc>
      </w:tr>
      <w:tr>
        <w:trPr>
          <w:trHeight w:val="117"/>
        </w:trPr>
        <w:tc>
          <w:tcPr>
            <w:tcW w:w="300" w:type="dxa"/>
            <w:vAlign w:val="bottom"/>
            <w:vMerge w:val="restart"/>
          </w:tcPr>
          <w:p>
            <w:pPr>
              <w:spacing w:after="0"/>
              <w:rPr>
                <w:sz w:val="20"/>
                <w:szCs w:val="20"/>
                <w:color w:val="auto"/>
              </w:rPr>
            </w:pPr>
            <w:r>
              <w:rPr>
                <w:rFonts w:ascii="Times New Roman" w:cs="Times New Roman" w:eastAsia="Times New Roman" w:hAnsi="Times New Roman"/>
                <w:sz w:val="11"/>
                <w:szCs w:val="11"/>
                <w:b w:val="1"/>
                <w:bCs w:val="1"/>
                <w:color w:val="auto"/>
              </w:rPr>
              <w:t>Name</w:t>
            </w:r>
          </w:p>
        </w:tc>
        <w:tc>
          <w:tcPr>
            <w:tcW w:w="4360" w:type="dxa"/>
            <w:vAlign w:val="bottom"/>
            <w:vMerge w:val="restart"/>
          </w:tcPr>
          <w:p>
            <w:pPr>
              <w:spacing w:after="0"/>
              <w:rPr>
                <w:sz w:val="10"/>
                <w:szCs w:val="10"/>
                <w:color w:val="auto"/>
              </w:rPr>
            </w:pPr>
          </w:p>
        </w:tc>
        <w:tc>
          <w:tcPr>
            <w:tcW w:w="1240" w:type="dxa"/>
            <w:vAlign w:val="bottom"/>
            <w:gridSpan w:val="2"/>
          </w:tcPr>
          <w:p>
            <w:pPr>
              <w:jc w:val="center"/>
              <w:ind w:right="400"/>
              <w:spacing w:after="0" w:line="118" w:lineRule="exact"/>
              <w:rPr>
                <w:sz w:val="20"/>
                <w:szCs w:val="20"/>
                <w:color w:val="auto"/>
              </w:rPr>
            </w:pPr>
            <w:r>
              <w:rPr>
                <w:rFonts w:ascii="Times New Roman" w:cs="Times New Roman" w:eastAsia="Times New Roman" w:hAnsi="Times New Roman"/>
                <w:sz w:val="11"/>
                <w:szCs w:val="11"/>
                <w:b w:val="1"/>
                <w:bCs w:val="1"/>
                <w:color w:val="auto"/>
              </w:rPr>
              <w:t>of Incorporation</w:t>
            </w:r>
          </w:p>
        </w:tc>
        <w:tc>
          <w:tcPr>
            <w:tcW w:w="700" w:type="dxa"/>
            <w:vAlign w:val="bottom"/>
            <w:gridSpan w:val="2"/>
          </w:tcPr>
          <w:p>
            <w:pPr>
              <w:jc w:val="center"/>
              <w:ind w:right="160"/>
              <w:spacing w:after="0" w:line="118" w:lineRule="exact"/>
              <w:rPr>
                <w:sz w:val="20"/>
                <w:szCs w:val="20"/>
                <w:color w:val="auto"/>
              </w:rPr>
            </w:pPr>
            <w:r>
              <w:rPr>
                <w:rFonts w:ascii="Times New Roman" w:cs="Times New Roman" w:eastAsia="Times New Roman" w:hAnsi="Times New Roman"/>
                <w:sz w:val="11"/>
                <w:szCs w:val="11"/>
                <w:b w:val="1"/>
                <w:bCs w:val="1"/>
                <w:color w:val="auto"/>
              </w:rPr>
              <w:t>Direct &amp;</w:t>
            </w:r>
          </w:p>
        </w:tc>
        <w:tc>
          <w:tcPr>
            <w:tcW w:w="0" w:type="dxa"/>
            <w:vAlign w:val="bottom"/>
          </w:tcPr>
          <w:p>
            <w:pPr>
              <w:spacing w:after="0"/>
              <w:rPr>
                <w:sz w:val="1"/>
                <w:szCs w:val="1"/>
                <w:color w:val="auto"/>
              </w:rPr>
            </w:pPr>
          </w:p>
        </w:tc>
      </w:tr>
      <w:tr>
        <w:trPr>
          <w:trHeight w:val="131"/>
        </w:trPr>
        <w:tc>
          <w:tcPr>
            <w:tcW w:w="300" w:type="dxa"/>
            <w:vAlign w:val="bottom"/>
            <w:tcBorders>
              <w:bottom w:val="single" w:sz="8" w:color="auto"/>
            </w:tcBorders>
            <w:vMerge w:val="continue"/>
          </w:tcPr>
          <w:p>
            <w:pPr>
              <w:spacing w:after="0"/>
              <w:rPr>
                <w:sz w:val="10"/>
                <w:szCs w:val="10"/>
                <w:color w:val="auto"/>
              </w:rPr>
            </w:pPr>
          </w:p>
        </w:tc>
        <w:tc>
          <w:tcPr>
            <w:tcW w:w="4360" w:type="dxa"/>
            <w:vAlign w:val="bottom"/>
            <w:vMerge w:val="continue"/>
          </w:tcPr>
          <w:p>
            <w:pPr>
              <w:spacing w:after="0"/>
              <w:rPr>
                <w:sz w:val="10"/>
                <w:szCs w:val="10"/>
                <w:color w:val="auto"/>
              </w:rPr>
            </w:pPr>
          </w:p>
        </w:tc>
        <w:tc>
          <w:tcPr>
            <w:tcW w:w="1240" w:type="dxa"/>
            <w:vAlign w:val="bottom"/>
            <w:gridSpan w:val="2"/>
          </w:tcPr>
          <w:p>
            <w:pPr>
              <w:jc w:val="center"/>
              <w:ind w:right="420"/>
              <w:spacing w:after="0"/>
              <w:rPr>
                <w:sz w:val="20"/>
                <w:szCs w:val="20"/>
                <w:color w:val="auto"/>
              </w:rPr>
            </w:pPr>
            <w:r>
              <w:rPr>
                <w:rFonts w:ascii="Times New Roman" w:cs="Times New Roman" w:eastAsia="Times New Roman" w:hAnsi="Times New Roman"/>
                <w:sz w:val="11"/>
                <w:szCs w:val="11"/>
                <w:b w:val="1"/>
                <w:bCs w:val="1"/>
                <w:color w:val="auto"/>
              </w:rPr>
              <w:t>or Organization</w:t>
            </w:r>
          </w:p>
        </w:tc>
        <w:tc>
          <w:tcPr>
            <w:tcW w:w="700" w:type="dxa"/>
            <w:vAlign w:val="bottom"/>
            <w:gridSpan w:val="2"/>
          </w:tcPr>
          <w:p>
            <w:pPr>
              <w:jc w:val="center"/>
              <w:ind w:right="160"/>
              <w:spacing w:after="0"/>
              <w:rPr>
                <w:sz w:val="20"/>
                <w:szCs w:val="20"/>
                <w:color w:val="auto"/>
              </w:rPr>
            </w:pPr>
            <w:r>
              <w:rPr>
                <w:rFonts w:ascii="Times New Roman" w:cs="Times New Roman" w:eastAsia="Times New Roman" w:hAnsi="Times New Roman"/>
                <w:sz w:val="11"/>
                <w:szCs w:val="11"/>
                <w:b w:val="1"/>
                <w:bCs w:val="1"/>
                <w:color w:val="auto"/>
              </w:rPr>
              <w:t>Indirect</w:t>
            </w:r>
          </w:p>
        </w:tc>
        <w:tc>
          <w:tcPr>
            <w:tcW w:w="0" w:type="dxa"/>
            <w:vAlign w:val="bottom"/>
          </w:tcPr>
          <w:p>
            <w:pPr>
              <w:spacing w:after="0"/>
              <w:rPr>
                <w:sz w:val="1"/>
                <w:szCs w:val="1"/>
                <w:color w:val="auto"/>
              </w:rPr>
            </w:pPr>
          </w:p>
        </w:tc>
      </w:tr>
      <w:tr>
        <w:trPr>
          <w:trHeight w:val="20"/>
        </w:trPr>
        <w:tc>
          <w:tcPr>
            <w:tcW w:w="466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Cemex Corp.</w:t>
            </w:r>
          </w:p>
        </w:tc>
        <w:tc>
          <w:tcPr>
            <w:tcW w:w="820" w:type="dxa"/>
            <w:vAlign w:val="bottom"/>
            <w:shd w:val="clear" w:color="auto" w:fill="000000"/>
          </w:tcPr>
          <w:p>
            <w:pPr>
              <w:spacing w:after="0" w:line="20" w:lineRule="exact"/>
              <w:rPr>
                <w:sz w:val="1"/>
                <w:szCs w:val="1"/>
                <w:color w:val="auto"/>
              </w:rPr>
            </w:pPr>
          </w:p>
        </w:tc>
        <w:tc>
          <w:tcPr>
            <w:tcW w:w="420" w:type="dxa"/>
            <w:vAlign w:val="bottom"/>
            <w:vMerge w:val="restart"/>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4660" w:type="dxa"/>
            <w:vAlign w:val="bottom"/>
            <w:gridSpan w:val="2"/>
            <w:vMerge w:val="continue"/>
            <w:shd w:val="clear" w:color="auto" w:fill="CCEEFF"/>
          </w:tcPr>
          <w:p>
            <w:pPr>
              <w:spacing w:after="0"/>
              <w:rPr>
                <w:sz w:val="13"/>
                <w:szCs w:val="13"/>
                <w:color w:val="auto"/>
              </w:rPr>
            </w:pPr>
          </w:p>
        </w:tc>
        <w:tc>
          <w:tcPr>
            <w:tcW w:w="820" w:type="dxa"/>
            <w:vAlign w:val="bottom"/>
            <w:shd w:val="clear" w:color="auto" w:fill="CCEEFF"/>
          </w:tcPr>
          <w:p>
            <w:pPr>
              <w:jc w:val="center"/>
              <w:spacing w:after="0" w:line="151" w:lineRule="exact"/>
              <w:rPr>
                <w:sz w:val="20"/>
                <w:szCs w:val="20"/>
                <w:color w:val="auto"/>
              </w:rPr>
            </w:pPr>
            <w:r>
              <w:rPr>
                <w:rFonts w:ascii="Times New Roman" w:cs="Times New Roman" w:eastAsia="Times New Roman" w:hAnsi="Times New Roman"/>
                <w:sz w:val="14"/>
                <w:szCs w:val="14"/>
                <w:color w:val="auto"/>
              </w:rPr>
              <w:t>Delaware</w:t>
            </w:r>
          </w:p>
        </w:tc>
        <w:tc>
          <w:tcPr>
            <w:tcW w:w="420" w:type="dxa"/>
            <w:vAlign w:val="bottom"/>
            <w:vMerge w:val="continue"/>
            <w:shd w:val="clear" w:color="auto" w:fill="CCEEFF"/>
          </w:tcPr>
          <w:p>
            <w:pPr>
              <w:spacing w:after="0"/>
              <w:rPr>
                <w:sz w:val="13"/>
                <w:szCs w:val="13"/>
                <w:color w:val="auto"/>
              </w:rPr>
            </w:pPr>
          </w:p>
        </w:tc>
        <w:tc>
          <w:tcPr>
            <w:tcW w:w="700" w:type="dxa"/>
            <w:vAlign w:val="bottom"/>
            <w:gridSpan w:val="2"/>
            <w:shd w:val="clear" w:color="auto" w:fill="CCEEFF"/>
          </w:tcPr>
          <w:p>
            <w:pPr>
              <w:jc w:val="right"/>
              <w:ind w:right="40"/>
              <w:spacing w:after="0" w:line="151" w:lineRule="exact"/>
              <w:rPr>
                <w:sz w:val="20"/>
                <w:szCs w:val="20"/>
                <w:color w:val="auto"/>
              </w:rPr>
            </w:pPr>
            <w:r>
              <w:rPr>
                <w:rFonts w:ascii="Times New Roman" w:cs="Times New Roman" w:eastAsia="Times New Roman" w:hAnsi="Times New Roman"/>
                <w:sz w:val="14"/>
                <w:szCs w:val="14"/>
                <w:color w:val="auto"/>
              </w:rPr>
              <w:t>99.86%</w:t>
            </w:r>
          </w:p>
        </w:tc>
        <w:tc>
          <w:tcPr>
            <w:tcW w:w="0" w:type="dxa"/>
            <w:vAlign w:val="bottom"/>
          </w:tcPr>
          <w:p>
            <w:pPr>
              <w:spacing w:after="0"/>
              <w:rPr>
                <w:sz w:val="1"/>
                <w:szCs w:val="1"/>
                <w:color w:val="auto"/>
              </w:rPr>
            </w:pPr>
          </w:p>
        </w:tc>
      </w:tr>
    </w:tbl>
    <w:p>
      <w:pPr>
        <w:sectPr>
          <w:pgSz w:w="11900" w:h="16838" w:orient="portrait"/>
          <w:cols w:equalWidth="0" w:num="1">
            <w:col w:w="9019"/>
          </w:cols>
          <w:pgMar w:left="1440" w:top="123" w:right="1440" w:bottom="1440" w:gutter="0" w:footer="0" w:header="0"/>
        </w:sectPr>
      </w:pPr>
    </w:p>
    <w:bookmarkStart w:id="123" w:name="page124"/>
    <w:bookmarkEnd w:id="123"/>
    <w:p>
      <w:pPr>
        <w:jc w:val="right"/>
        <w:ind w:right="179"/>
        <w:spacing w:after="0"/>
        <w:rPr>
          <w:sz w:val="20"/>
          <w:szCs w:val="20"/>
          <w:color w:val="auto"/>
        </w:rPr>
      </w:pPr>
      <w:r>
        <w:rPr>
          <w:rFonts w:ascii="Times New Roman" w:cs="Times New Roman" w:eastAsia="Times New Roman" w:hAnsi="Times New Roman"/>
          <w:sz w:val="14"/>
          <w:szCs w:val="14"/>
          <w:b w:val="1"/>
          <w:bCs w:val="1"/>
          <w:color w:val="auto"/>
        </w:rPr>
        <w:t>Exhibit 23.1</w:t>
      </w:r>
    </w:p>
    <w:p>
      <w:pPr>
        <w:spacing w:after="0" w:line="3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Consent of Independent Registered Public Accounting Firm</w:t>
      </w:r>
    </w:p>
    <w:p>
      <w:pPr>
        <w:spacing w:after="0" w:line="181" w:lineRule="exact"/>
        <w:rPr>
          <w:sz w:val="20"/>
          <w:szCs w:val="20"/>
          <w:color w:val="auto"/>
        </w:rPr>
      </w:pPr>
    </w:p>
    <w:p>
      <w:pPr>
        <w:ind w:left="160" w:right="379"/>
        <w:spacing w:after="0" w:line="271" w:lineRule="auto"/>
        <w:rPr>
          <w:sz w:val="20"/>
          <w:szCs w:val="20"/>
          <w:color w:val="auto"/>
        </w:rPr>
      </w:pPr>
      <w:r>
        <w:rPr>
          <w:rFonts w:ascii="Times New Roman" w:cs="Times New Roman" w:eastAsia="Times New Roman" w:hAnsi="Times New Roman"/>
          <w:sz w:val="14"/>
          <w:szCs w:val="14"/>
          <w:color w:val="auto"/>
        </w:rPr>
        <w:t>We consent to the use of our reports dated April 24, 2026, with respect to the consolidated financial statements of Cemex, S.A.B. de C.V. and subsidiaries, and the effectiveness of internal control over financial reporting, incorporated herein by reference, and to the reference to our firm under the heading “Experts” in the prospectus.</w:t>
      </w:r>
    </w:p>
    <w:p>
      <w:pPr>
        <w:spacing w:after="0" w:line="136"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4"/>
          <w:szCs w:val="14"/>
          <w:color w:val="auto"/>
        </w:rPr>
        <w:t>/s/ KPMG Cárdenas Dosal, S.C.</w:t>
      </w:r>
    </w:p>
    <w:p>
      <w:pPr>
        <w:spacing w:after="0" w:line="17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4"/>
          <w:szCs w:val="14"/>
          <w:color w:val="auto"/>
        </w:rPr>
        <w:t>KPMG Cárdenas Dosal, S.C.</w:t>
      </w:r>
    </w:p>
    <w:p>
      <w:pPr>
        <w:spacing w:after="0" w:line="17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4"/>
          <w:szCs w:val="14"/>
          <w:color w:val="auto"/>
        </w:rPr>
        <w:t>Monterrey, Nuevo León, México</w:t>
      </w:r>
    </w:p>
    <w:p>
      <w:pPr>
        <w:spacing w:after="0" w:line="2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4"/>
          <w:szCs w:val="14"/>
          <w:color w:val="auto"/>
        </w:rPr>
        <w:t>June 1, 2026</w:t>
      </w:r>
    </w:p>
    <w:p>
      <w:pPr>
        <w:sectPr>
          <w:pgSz w:w="11900" w:h="16838" w:orient="portrait"/>
          <w:cols w:equalWidth="0" w:num="1">
            <w:col w:w="9019"/>
          </w:cols>
          <w:pgMar w:left="1440" w:top="123" w:right="1440" w:bottom="1440" w:gutter="0" w:footer="0" w:header="0"/>
        </w:sectPr>
      </w:pPr>
    </w:p>
    <w:bookmarkStart w:id="124" w:name="page125"/>
    <w:bookmarkEnd w:id="124"/>
    <w:p>
      <w:pPr>
        <w:jc w:val="right"/>
        <w:ind w:right="179"/>
        <w:spacing w:after="0"/>
        <w:rPr>
          <w:sz w:val="20"/>
          <w:szCs w:val="20"/>
          <w:color w:val="auto"/>
        </w:rPr>
      </w:pPr>
      <w:r>
        <w:rPr>
          <w:rFonts w:ascii="Times New Roman" w:cs="Times New Roman" w:eastAsia="Times New Roman" w:hAnsi="Times New Roman"/>
          <w:sz w:val="14"/>
          <w:szCs w:val="14"/>
          <w:b w:val="1"/>
          <w:bCs w:val="1"/>
          <w:color w:val="auto"/>
        </w:rPr>
        <w:t>Exhibit 25.1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103505</wp:posOffset>
            </wp:positionH>
            <wp:positionV relativeFrom="paragraph">
              <wp:posOffset>144780</wp:posOffset>
            </wp:positionV>
            <wp:extent cx="5513070" cy="698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9">
                      <a:extLst>
                        <a:ext uri="{28A0092B-C50C-407E-A947-70E740481C1C}"/>
                      </a:extLst>
                    </a:blip>
                    <a:srcRect/>
                    <a:stretch>
                      <a:fillRect/>
                    </a:stretch>
                  </pic:blipFill>
                  <pic:spPr bwMode="auto">
                    <a:xfrm>
                      <a:off x="0" y="0"/>
                      <a:ext cx="5513070" cy="6985"/>
                    </a:xfrm>
                    <a:prstGeom prst="rect">
                      <a:avLst/>
                    </a:prstGeom>
                    <a:noFill/>
                  </pic:spPr>
                </pic:pic>
              </a:graphicData>
            </a:graphic>
          </wp:anchor>
        </w:drawing>
        <w:drawing>
          <wp:anchor simplePos="0" relativeHeight="251657728" behindDoc="1" locked="0" layoutInCell="0" allowOverlap="1">
            <wp:simplePos x="0" y="0"/>
            <wp:positionH relativeFrom="column">
              <wp:posOffset>103505</wp:posOffset>
            </wp:positionH>
            <wp:positionV relativeFrom="paragraph">
              <wp:posOffset>178435</wp:posOffset>
            </wp:positionV>
            <wp:extent cx="5513070" cy="698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60">
                      <a:extLst>
                        <a:ext uri="{28A0092B-C50C-407E-A947-70E740481C1C}"/>
                      </a:extLst>
                    </a:blip>
                    <a:srcRect/>
                    <a:stretch>
                      <a:fillRect/>
                    </a:stretch>
                  </pic:blipFill>
                  <pic:spPr bwMode="auto">
                    <a:xfrm>
                      <a:off x="0" y="0"/>
                      <a:ext cx="5513070" cy="6985"/>
                    </a:xfrm>
                    <a:prstGeom prst="rect">
                      <a:avLst/>
                    </a:prstGeom>
                    <a:noFill/>
                  </pic:spPr>
                </pic:pic>
              </a:graphicData>
            </a:graphic>
          </wp:anchor>
        </w:drawing>
      </w:r>
    </w:p>
    <w:p>
      <w:pPr>
        <w:spacing w:after="0" w:line="3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6"/>
          <w:szCs w:val="26"/>
          <w:b w:val="1"/>
          <w:bCs w:val="1"/>
          <w:color w:val="auto"/>
        </w:rPr>
        <w:t>UNITED STATES</w:t>
      </w:r>
    </w:p>
    <w:p>
      <w:pPr>
        <w:spacing w:after="0" w:line="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6"/>
          <w:szCs w:val="26"/>
          <w:b w:val="1"/>
          <w:bCs w:val="1"/>
          <w:color w:val="auto"/>
        </w:rPr>
        <w:t>SECURITIES AND EXCHANGE COMMISSION</w:t>
      </w: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Washington, D.C. 20549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2279015</wp:posOffset>
            </wp:positionH>
            <wp:positionV relativeFrom="paragraph">
              <wp:posOffset>174625</wp:posOffset>
            </wp:positionV>
            <wp:extent cx="1162050" cy="698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61">
                      <a:extLst>
                        <a:ext uri="{28A0092B-C50C-407E-A947-70E740481C1C}"/>
                      </a:extLst>
                    </a:blip>
                    <a:srcRect/>
                    <a:stretch>
                      <a:fillRect/>
                    </a:stretch>
                  </pic:blipFill>
                  <pic:spPr bwMode="auto">
                    <a:xfrm>
                      <a:off x="0" y="0"/>
                      <a:ext cx="1162050" cy="6985"/>
                    </a:xfrm>
                    <a:prstGeom prst="rect">
                      <a:avLst/>
                    </a:prstGeom>
                    <a:noFill/>
                  </pic:spPr>
                </pic:pic>
              </a:graphicData>
            </a:graphic>
          </wp:anchor>
        </w:drawing>
      </w:r>
    </w:p>
    <w:p>
      <w:pPr>
        <w:spacing w:after="0" w:line="3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6"/>
          <w:szCs w:val="26"/>
          <w:b w:val="1"/>
          <w:bCs w:val="1"/>
          <w:color w:val="auto"/>
        </w:rPr>
        <w:t>FORM 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2279015</wp:posOffset>
            </wp:positionH>
            <wp:positionV relativeFrom="paragraph">
              <wp:posOffset>192405</wp:posOffset>
            </wp:positionV>
            <wp:extent cx="1162050" cy="698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2">
                      <a:extLst>
                        <a:ext uri="{28A0092B-C50C-407E-A947-70E740481C1C}"/>
                      </a:extLst>
                    </a:blip>
                    <a:srcRect/>
                    <a:stretch>
                      <a:fillRect/>
                    </a:stretch>
                  </pic:blipFill>
                  <pic:spPr bwMode="auto">
                    <a:xfrm>
                      <a:off x="0" y="0"/>
                      <a:ext cx="1162050" cy="6985"/>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p>
      <w:pPr>
        <w:jc w:val="center"/>
        <w:ind w:left="1620" w:right="2000"/>
        <w:spacing w:after="0" w:line="253" w:lineRule="auto"/>
        <w:rPr>
          <w:sz w:val="20"/>
          <w:szCs w:val="20"/>
          <w:color w:val="auto"/>
        </w:rPr>
      </w:pPr>
      <w:r>
        <w:rPr>
          <w:rFonts w:ascii="Times New Roman" w:cs="Times New Roman" w:eastAsia="Times New Roman" w:hAnsi="Times New Roman"/>
          <w:sz w:val="17"/>
          <w:szCs w:val="17"/>
          <w:b w:val="1"/>
          <w:bCs w:val="1"/>
          <w:color w:val="auto"/>
        </w:rPr>
        <w:t>STATEMENT OF ELIGIBILITY UNDER THE TRUST INDENTURE ACT OF 1939 OF A CORPORATION DESIGNATED TO ACT AS TRUSTEE</w:t>
      </w:r>
    </w:p>
    <w:p>
      <w:pPr>
        <w:spacing w:after="0" w:line="148" w:lineRule="exact"/>
        <w:rPr>
          <w:sz w:val="20"/>
          <w:szCs w:val="20"/>
          <w:color w:val="auto"/>
        </w:rPr>
      </w:pPr>
    </w:p>
    <w:p>
      <w:pPr>
        <w:ind w:left="500" w:right="319" w:hanging="337"/>
        <w:spacing w:after="0" w:line="272" w:lineRule="auto"/>
        <w:tabs>
          <w:tab w:leader="none" w:pos="500" w:val="left"/>
        </w:tabs>
        <w:numPr>
          <w:ilvl w:val="0"/>
          <w:numId w:val="116"/>
        </w:numPr>
        <w:rPr>
          <w:rFonts w:ascii="MS PGothic" w:cs="MS PGothic" w:eastAsia="MS PGothic" w:hAnsi="MS PGothic"/>
          <w:sz w:val="17"/>
          <w:szCs w:val="17"/>
          <w:color w:val="auto"/>
        </w:rPr>
      </w:pPr>
      <w:r>
        <w:rPr>
          <w:rFonts w:ascii="Times New Roman" w:cs="Times New Roman" w:eastAsia="Times New Roman" w:hAnsi="Times New Roman"/>
          <w:sz w:val="17"/>
          <w:szCs w:val="17"/>
          <w:b w:val="1"/>
          <w:bCs w:val="1"/>
          <w:color w:val="auto"/>
        </w:rPr>
        <w:t>CHECK IF AN APPLICATION TO DETERMINE ELIGIBILITY OF A TRUSTEE PURSUANT TO SECTION 305(b)(2)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2279015</wp:posOffset>
            </wp:positionH>
            <wp:positionV relativeFrom="paragraph">
              <wp:posOffset>160020</wp:posOffset>
            </wp:positionV>
            <wp:extent cx="1162050" cy="698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3">
                      <a:extLst>
                        <a:ext uri="{28A0092B-C50C-407E-A947-70E740481C1C}"/>
                      </a:extLst>
                    </a:blip>
                    <a:srcRect/>
                    <a:stretch>
                      <a:fillRect/>
                    </a:stretch>
                  </pic:blipFill>
                  <pic:spPr bwMode="auto">
                    <a:xfrm>
                      <a:off x="0" y="0"/>
                      <a:ext cx="1162050" cy="6985"/>
                    </a:xfrm>
                    <a:prstGeom prst="rect">
                      <a:avLst/>
                    </a:prstGeom>
                    <a:noFill/>
                  </pic:spPr>
                </pic:pic>
              </a:graphicData>
            </a:graphic>
          </wp:anchor>
        </w:drawing>
      </w:r>
    </w:p>
    <w:p>
      <w:pPr>
        <w:spacing w:after="0" w:line="3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34"/>
          <w:szCs w:val="34"/>
          <w:b w:val="1"/>
          <w:bCs w:val="1"/>
          <w:color w:val="auto"/>
        </w:rPr>
        <w:t>THE BANK OF NEW YORK MELLON</w:t>
      </w:r>
    </w:p>
    <w:p>
      <w:pPr>
        <w:spacing w:after="0" w:line="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(Exact name of trustee as specified in its charter)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2279015</wp:posOffset>
            </wp:positionH>
            <wp:positionV relativeFrom="paragraph">
              <wp:posOffset>180975</wp:posOffset>
            </wp:positionV>
            <wp:extent cx="1162050" cy="698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4">
                      <a:extLst>
                        <a:ext uri="{28A0092B-C50C-407E-A947-70E740481C1C}"/>
                      </a:extLst>
                    </a:blip>
                    <a:srcRect/>
                    <a:stretch>
                      <a:fillRect/>
                    </a:stretch>
                  </pic:blipFill>
                  <pic:spPr bwMode="auto">
                    <a:xfrm>
                      <a:off x="0" y="0"/>
                      <a:ext cx="1162050" cy="6985"/>
                    </a:xfrm>
                    <a:prstGeom prst="rect">
                      <a:avLst/>
                    </a:prstGeom>
                    <a:noFill/>
                  </pic:spPr>
                </pic:pic>
              </a:graphicData>
            </a:graphic>
          </wp:anchor>
        </w:drawing>
      </w:r>
    </w:p>
    <w:p>
      <w:pPr>
        <w:spacing w:after="0" w:line="200" w:lineRule="exact"/>
        <w:rPr>
          <w:sz w:val="20"/>
          <w:szCs w:val="20"/>
          <w:color w:val="auto"/>
        </w:rPr>
      </w:pPr>
    </w:p>
    <w:p>
      <w:pPr>
        <w:spacing w:after="0" w:line="282" w:lineRule="exact"/>
        <w:rPr>
          <w:sz w:val="20"/>
          <w:szCs w:val="20"/>
          <w:color w:val="auto"/>
        </w:rPr>
      </w:pPr>
    </w:p>
    <w:tbl>
      <w:tblPr>
        <w:tblLayout w:type="fixed"/>
        <w:tblInd w:w="1140" w:type="dxa"/>
        <w:tblCellMar>
          <w:top w:w="0" w:type="dxa"/>
          <w:left w:w="0" w:type="dxa"/>
          <w:bottom w:w="0" w:type="dxa"/>
          <w:right w:w="0" w:type="dxa"/>
        </w:tblCellMar>
      </w:tblPr>
      <w:tr>
        <w:trPr>
          <w:trHeight w:val="168"/>
        </w:trPr>
        <w:tc>
          <w:tcPr>
            <w:tcW w:w="4880" w:type="dxa"/>
            <w:vAlign w:val="bottom"/>
            <w:gridSpan w:val="4"/>
          </w:tcPr>
          <w:p>
            <w:pPr>
              <w:jc w:val="center"/>
              <w:ind w:right="2480"/>
              <w:spacing w:after="0"/>
              <w:rPr>
                <w:sz w:val="20"/>
                <w:szCs w:val="20"/>
                <w:color w:val="auto"/>
              </w:rPr>
            </w:pPr>
            <w:r>
              <w:rPr>
                <w:rFonts w:ascii="Times New Roman" w:cs="Times New Roman" w:eastAsia="Times New Roman" w:hAnsi="Times New Roman"/>
                <w:sz w:val="14"/>
                <w:szCs w:val="14"/>
                <w:b w:val="1"/>
                <w:bCs w:val="1"/>
                <w:color w:val="auto"/>
                <w:w w:val="98"/>
              </w:rPr>
              <w:t>New York</w:t>
            </w:r>
          </w:p>
        </w:tc>
        <w:tc>
          <w:tcPr>
            <w:tcW w:w="1180" w:type="dxa"/>
            <w:vAlign w:val="bottom"/>
          </w:tcPr>
          <w:p>
            <w:pPr>
              <w:jc w:val="center"/>
              <w:ind w:left="158"/>
              <w:spacing w:after="0"/>
              <w:rPr>
                <w:sz w:val="20"/>
                <w:szCs w:val="20"/>
                <w:color w:val="auto"/>
              </w:rPr>
            </w:pPr>
            <w:r>
              <w:rPr>
                <w:rFonts w:ascii="Times New Roman" w:cs="Times New Roman" w:eastAsia="Times New Roman" w:hAnsi="Times New Roman"/>
                <w:sz w:val="14"/>
                <w:szCs w:val="14"/>
                <w:b w:val="1"/>
                <w:bCs w:val="1"/>
                <w:color w:val="auto"/>
              </w:rPr>
              <w:t>13-5160382</w:t>
            </w:r>
          </w:p>
        </w:tc>
      </w:tr>
      <w:tr>
        <w:trPr>
          <w:trHeight w:val="117"/>
        </w:trPr>
        <w:tc>
          <w:tcPr>
            <w:tcW w:w="4880" w:type="dxa"/>
            <w:vAlign w:val="bottom"/>
            <w:gridSpan w:val="4"/>
          </w:tcPr>
          <w:p>
            <w:pPr>
              <w:jc w:val="center"/>
              <w:ind w:right="2480"/>
              <w:spacing w:after="0" w:line="118" w:lineRule="exact"/>
              <w:rPr>
                <w:sz w:val="20"/>
                <w:szCs w:val="20"/>
                <w:color w:val="auto"/>
              </w:rPr>
            </w:pPr>
            <w:r>
              <w:rPr>
                <w:rFonts w:ascii="Times New Roman" w:cs="Times New Roman" w:eastAsia="Times New Roman" w:hAnsi="Times New Roman"/>
                <w:sz w:val="11"/>
                <w:szCs w:val="11"/>
                <w:b w:val="1"/>
                <w:bCs w:val="1"/>
                <w:color w:val="auto"/>
              </w:rPr>
              <w:t>(Jurisdiction of incorporation</w:t>
            </w:r>
          </w:p>
        </w:tc>
        <w:tc>
          <w:tcPr>
            <w:tcW w:w="1180" w:type="dxa"/>
            <w:vAlign w:val="bottom"/>
          </w:tcPr>
          <w:p>
            <w:pPr>
              <w:ind w:left="300"/>
              <w:spacing w:after="0" w:line="118" w:lineRule="exact"/>
              <w:rPr>
                <w:sz w:val="20"/>
                <w:szCs w:val="20"/>
                <w:color w:val="auto"/>
              </w:rPr>
            </w:pPr>
            <w:r>
              <w:rPr>
                <w:rFonts w:ascii="Times New Roman" w:cs="Times New Roman" w:eastAsia="Times New Roman" w:hAnsi="Times New Roman"/>
                <w:sz w:val="11"/>
                <w:szCs w:val="11"/>
                <w:b w:val="1"/>
                <w:bCs w:val="1"/>
                <w:color w:val="auto"/>
              </w:rPr>
              <w:t>(I.R.S. employer</w:t>
            </w:r>
          </w:p>
        </w:tc>
      </w:tr>
      <w:tr>
        <w:trPr>
          <w:trHeight w:val="149"/>
        </w:trPr>
        <w:tc>
          <w:tcPr>
            <w:tcW w:w="4880" w:type="dxa"/>
            <w:vAlign w:val="bottom"/>
            <w:gridSpan w:val="4"/>
          </w:tcPr>
          <w:p>
            <w:pPr>
              <w:jc w:val="center"/>
              <w:ind w:right="2460"/>
              <w:spacing w:after="0"/>
              <w:rPr>
                <w:sz w:val="20"/>
                <w:szCs w:val="20"/>
                <w:color w:val="auto"/>
              </w:rPr>
            </w:pPr>
            <w:r>
              <w:rPr>
                <w:rFonts w:ascii="Times New Roman" w:cs="Times New Roman" w:eastAsia="Times New Roman" w:hAnsi="Times New Roman"/>
                <w:sz w:val="11"/>
                <w:szCs w:val="11"/>
                <w:b w:val="1"/>
                <w:bCs w:val="1"/>
                <w:color w:val="auto"/>
              </w:rPr>
              <w:t>if not a U.S. national bank)</w:t>
            </w:r>
          </w:p>
        </w:tc>
        <w:tc>
          <w:tcPr>
            <w:tcW w:w="1180" w:type="dxa"/>
            <w:vAlign w:val="bottom"/>
          </w:tcPr>
          <w:p>
            <w:pPr>
              <w:ind w:left="300"/>
              <w:spacing w:after="0"/>
              <w:rPr>
                <w:sz w:val="20"/>
                <w:szCs w:val="20"/>
                <w:color w:val="auto"/>
              </w:rPr>
            </w:pPr>
            <w:r>
              <w:rPr>
                <w:rFonts w:ascii="Times New Roman" w:cs="Times New Roman" w:eastAsia="Times New Roman" w:hAnsi="Times New Roman"/>
                <w:sz w:val="11"/>
                <w:szCs w:val="11"/>
                <w:b w:val="1"/>
                <w:bCs w:val="1"/>
                <w:color w:val="auto"/>
              </w:rPr>
              <w:t>identification no.)</w:t>
            </w:r>
          </w:p>
        </w:tc>
      </w:tr>
      <w:tr>
        <w:trPr>
          <w:trHeight w:val="308"/>
        </w:trPr>
        <w:tc>
          <w:tcPr>
            <w:tcW w:w="4880" w:type="dxa"/>
            <w:vAlign w:val="bottom"/>
            <w:gridSpan w:val="4"/>
          </w:tcPr>
          <w:p>
            <w:pPr>
              <w:jc w:val="center"/>
              <w:ind w:right="2460"/>
              <w:spacing w:after="0"/>
              <w:rPr>
                <w:sz w:val="20"/>
                <w:szCs w:val="20"/>
                <w:color w:val="auto"/>
              </w:rPr>
            </w:pPr>
            <w:r>
              <w:rPr>
                <w:rFonts w:ascii="Times New Roman" w:cs="Times New Roman" w:eastAsia="Times New Roman" w:hAnsi="Times New Roman"/>
                <w:sz w:val="14"/>
                <w:szCs w:val="14"/>
                <w:b w:val="1"/>
                <w:bCs w:val="1"/>
                <w:color w:val="auto"/>
                <w:w w:val="99"/>
              </w:rPr>
              <w:t>240 Greenwich Street, New York, N.Y.</w:t>
            </w:r>
          </w:p>
        </w:tc>
        <w:tc>
          <w:tcPr>
            <w:tcW w:w="1180" w:type="dxa"/>
            <w:vAlign w:val="bottom"/>
          </w:tcPr>
          <w:p>
            <w:pPr>
              <w:jc w:val="center"/>
              <w:ind w:left="198"/>
              <w:spacing w:after="0"/>
              <w:rPr>
                <w:sz w:val="20"/>
                <w:szCs w:val="20"/>
                <w:color w:val="auto"/>
              </w:rPr>
            </w:pPr>
            <w:r>
              <w:rPr>
                <w:rFonts w:ascii="Times New Roman" w:cs="Times New Roman" w:eastAsia="Times New Roman" w:hAnsi="Times New Roman"/>
                <w:sz w:val="14"/>
                <w:szCs w:val="14"/>
                <w:b w:val="1"/>
                <w:bCs w:val="1"/>
                <w:color w:val="auto"/>
              </w:rPr>
              <w:t>10286</w:t>
            </w:r>
          </w:p>
        </w:tc>
      </w:tr>
      <w:tr>
        <w:trPr>
          <w:trHeight w:val="149"/>
        </w:trPr>
        <w:tc>
          <w:tcPr>
            <w:tcW w:w="4880" w:type="dxa"/>
            <w:vAlign w:val="bottom"/>
            <w:gridSpan w:val="4"/>
          </w:tcPr>
          <w:p>
            <w:pPr>
              <w:jc w:val="center"/>
              <w:ind w:right="2440"/>
              <w:spacing w:after="0"/>
              <w:rPr>
                <w:sz w:val="20"/>
                <w:szCs w:val="20"/>
                <w:color w:val="auto"/>
              </w:rPr>
            </w:pPr>
            <w:r>
              <w:rPr>
                <w:rFonts w:ascii="Times New Roman" w:cs="Times New Roman" w:eastAsia="Times New Roman" w:hAnsi="Times New Roman"/>
                <w:sz w:val="11"/>
                <w:szCs w:val="11"/>
                <w:b w:val="1"/>
                <w:bCs w:val="1"/>
                <w:color w:val="auto"/>
              </w:rPr>
              <w:t>(Address of principal executive offices)</w:t>
            </w:r>
          </w:p>
        </w:tc>
        <w:tc>
          <w:tcPr>
            <w:tcW w:w="1180" w:type="dxa"/>
            <w:vAlign w:val="bottom"/>
          </w:tcPr>
          <w:p>
            <w:pPr>
              <w:jc w:val="center"/>
              <w:ind w:left="198"/>
              <w:spacing w:after="0"/>
              <w:rPr>
                <w:sz w:val="20"/>
                <w:szCs w:val="20"/>
                <w:color w:val="auto"/>
              </w:rPr>
            </w:pPr>
            <w:r>
              <w:rPr>
                <w:rFonts w:ascii="Times New Roman" w:cs="Times New Roman" w:eastAsia="Times New Roman" w:hAnsi="Times New Roman"/>
                <w:sz w:val="11"/>
                <w:szCs w:val="11"/>
                <w:b w:val="1"/>
                <w:bCs w:val="1"/>
                <w:color w:val="auto"/>
                <w:w w:val="99"/>
              </w:rPr>
              <w:t>(Zip code)</w:t>
            </w:r>
          </w:p>
        </w:tc>
      </w:tr>
      <w:tr>
        <w:trPr>
          <w:trHeight w:val="264"/>
        </w:trPr>
        <w:tc>
          <w:tcPr>
            <w:tcW w:w="2440" w:type="dxa"/>
            <w:vAlign w:val="bottom"/>
          </w:tcPr>
          <w:p>
            <w:pPr>
              <w:spacing w:after="0"/>
              <w:rPr>
                <w:sz w:val="22"/>
                <w:szCs w:val="22"/>
                <w:color w:val="auto"/>
              </w:rPr>
            </w:pPr>
          </w:p>
        </w:tc>
        <w:tc>
          <w:tcPr>
            <w:tcW w:w="1840" w:type="dxa"/>
            <w:vAlign w:val="bottom"/>
            <w:tcBorders>
              <w:bottom w:val="single" w:sz="8" w:color="auto"/>
            </w:tcBorders>
          </w:tcPr>
          <w:p>
            <w:pPr>
              <w:spacing w:after="0"/>
              <w:rPr>
                <w:sz w:val="22"/>
                <w:szCs w:val="22"/>
                <w:color w:val="auto"/>
              </w:rPr>
            </w:pPr>
          </w:p>
        </w:tc>
        <w:tc>
          <w:tcPr>
            <w:tcW w:w="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180" w:type="dxa"/>
            <w:vAlign w:val="bottom"/>
          </w:tcPr>
          <w:p>
            <w:pPr>
              <w:spacing w:after="0"/>
              <w:rPr>
                <w:sz w:val="22"/>
                <w:szCs w:val="22"/>
                <w:color w:val="auto"/>
              </w:rPr>
            </w:pPr>
          </w:p>
        </w:tc>
      </w:tr>
      <w:tr>
        <w:trPr>
          <w:trHeight w:val="312"/>
        </w:trPr>
        <w:tc>
          <w:tcPr>
            <w:tcW w:w="2440" w:type="dxa"/>
            <w:vAlign w:val="bottom"/>
          </w:tcPr>
          <w:p>
            <w:pPr>
              <w:spacing w:after="0"/>
              <w:rPr>
                <w:sz w:val="24"/>
                <w:szCs w:val="24"/>
                <w:color w:val="auto"/>
              </w:rPr>
            </w:pPr>
          </w:p>
        </w:tc>
        <w:tc>
          <w:tcPr>
            <w:tcW w:w="2440" w:type="dxa"/>
            <w:vAlign w:val="bottom"/>
            <w:gridSpan w:val="3"/>
          </w:tcPr>
          <w:p>
            <w:pPr>
              <w:jc w:val="center"/>
              <w:ind w:right="580"/>
              <w:spacing w:after="0"/>
              <w:rPr>
                <w:sz w:val="20"/>
                <w:szCs w:val="20"/>
                <w:color w:val="auto"/>
              </w:rPr>
            </w:pPr>
            <w:r>
              <w:rPr>
                <w:rFonts w:ascii="Times New Roman" w:cs="Times New Roman" w:eastAsia="Times New Roman" w:hAnsi="Times New Roman"/>
                <w:sz w:val="14"/>
                <w:szCs w:val="14"/>
                <w:b w:val="1"/>
                <w:bCs w:val="1"/>
                <w:color w:val="auto"/>
                <w:w w:val="99"/>
              </w:rPr>
              <w:t>Cemex, S.A.B. de C.V.</w:t>
            </w:r>
          </w:p>
        </w:tc>
        <w:tc>
          <w:tcPr>
            <w:tcW w:w="1180" w:type="dxa"/>
            <w:vAlign w:val="bottom"/>
          </w:tcPr>
          <w:p>
            <w:pPr>
              <w:spacing w:after="0"/>
              <w:rPr>
                <w:sz w:val="24"/>
                <w:szCs w:val="24"/>
                <w:color w:val="auto"/>
              </w:rPr>
            </w:pPr>
          </w:p>
        </w:tc>
      </w:tr>
      <w:tr>
        <w:trPr>
          <w:trHeight w:val="149"/>
        </w:trPr>
        <w:tc>
          <w:tcPr>
            <w:tcW w:w="4880" w:type="dxa"/>
            <w:vAlign w:val="bottom"/>
            <w:gridSpan w:val="4"/>
          </w:tcPr>
          <w:p>
            <w:pPr>
              <w:jc w:val="center"/>
              <w:ind w:left="1796"/>
              <w:spacing w:after="0"/>
              <w:rPr>
                <w:sz w:val="20"/>
                <w:szCs w:val="20"/>
                <w:color w:val="auto"/>
              </w:rPr>
            </w:pPr>
            <w:r>
              <w:rPr>
                <w:rFonts w:ascii="Times New Roman" w:cs="Times New Roman" w:eastAsia="Times New Roman" w:hAnsi="Times New Roman"/>
                <w:sz w:val="11"/>
                <w:szCs w:val="11"/>
                <w:b w:val="1"/>
                <w:bCs w:val="1"/>
                <w:color w:val="auto"/>
              </w:rPr>
              <w:t>(Exact name of obligor as specified in its charter)</w:t>
            </w:r>
          </w:p>
        </w:tc>
        <w:tc>
          <w:tcPr>
            <w:tcW w:w="1180" w:type="dxa"/>
            <w:vAlign w:val="bottom"/>
          </w:tcPr>
          <w:p>
            <w:pPr>
              <w:spacing w:after="0"/>
              <w:rPr>
                <w:sz w:val="12"/>
                <w:szCs w:val="12"/>
                <w:color w:val="auto"/>
              </w:rPr>
            </w:pPr>
          </w:p>
        </w:tc>
      </w:tr>
      <w:tr>
        <w:trPr>
          <w:trHeight w:val="264"/>
        </w:trPr>
        <w:tc>
          <w:tcPr>
            <w:tcW w:w="2440" w:type="dxa"/>
            <w:vAlign w:val="bottom"/>
          </w:tcPr>
          <w:p>
            <w:pPr>
              <w:spacing w:after="0"/>
              <w:rPr>
                <w:sz w:val="22"/>
                <w:szCs w:val="22"/>
                <w:color w:val="auto"/>
              </w:rPr>
            </w:pPr>
          </w:p>
        </w:tc>
        <w:tc>
          <w:tcPr>
            <w:tcW w:w="1860" w:type="dxa"/>
            <w:vAlign w:val="bottom"/>
            <w:tcBorders>
              <w:bottom w:val="single" w:sz="8" w:color="auto"/>
            </w:tcBorders>
            <w:gridSpan w:val="2"/>
          </w:tcPr>
          <w:p>
            <w:pPr>
              <w:spacing w:after="0"/>
              <w:rPr>
                <w:sz w:val="22"/>
                <w:szCs w:val="22"/>
                <w:color w:val="auto"/>
              </w:rPr>
            </w:pPr>
          </w:p>
        </w:tc>
        <w:tc>
          <w:tcPr>
            <w:tcW w:w="1760" w:type="dxa"/>
            <w:vAlign w:val="bottom"/>
            <w:gridSpan w:val="2"/>
          </w:tcPr>
          <w:p>
            <w:pPr>
              <w:spacing w:after="0"/>
              <w:rPr>
                <w:sz w:val="22"/>
                <w:szCs w:val="22"/>
                <w:color w:val="auto"/>
              </w:rPr>
            </w:pPr>
          </w:p>
        </w:tc>
      </w:tr>
      <w:tr>
        <w:trPr>
          <w:trHeight w:val="312"/>
        </w:trPr>
        <w:tc>
          <w:tcPr>
            <w:tcW w:w="6060" w:type="dxa"/>
            <w:vAlign w:val="bottom"/>
            <w:gridSpan w:val="5"/>
          </w:tcPr>
          <w:p>
            <w:pPr>
              <w:jc w:val="center"/>
              <w:ind w:left="596"/>
              <w:spacing w:after="0"/>
              <w:rPr>
                <w:sz w:val="20"/>
                <w:szCs w:val="20"/>
                <w:color w:val="auto"/>
              </w:rPr>
            </w:pPr>
            <w:r>
              <w:rPr>
                <w:rFonts w:ascii="Times New Roman" w:cs="Times New Roman" w:eastAsia="Times New Roman" w:hAnsi="Times New Roman"/>
                <w:sz w:val="14"/>
                <w:szCs w:val="14"/>
                <w:b w:val="1"/>
                <w:bCs w:val="1"/>
                <w:color w:val="auto"/>
              </w:rPr>
              <w:t>Cemex Publicly Traded Stock Corporation with Variable Capital</w:t>
            </w:r>
          </w:p>
        </w:tc>
      </w:tr>
      <w:tr>
        <w:trPr>
          <w:trHeight w:val="149"/>
        </w:trPr>
        <w:tc>
          <w:tcPr>
            <w:tcW w:w="4880" w:type="dxa"/>
            <w:vAlign w:val="bottom"/>
            <w:gridSpan w:val="4"/>
          </w:tcPr>
          <w:p>
            <w:pPr>
              <w:jc w:val="center"/>
              <w:ind w:left="1776"/>
              <w:spacing w:after="0"/>
              <w:rPr>
                <w:sz w:val="20"/>
                <w:szCs w:val="20"/>
                <w:color w:val="auto"/>
              </w:rPr>
            </w:pPr>
            <w:r>
              <w:rPr>
                <w:rFonts w:ascii="Times New Roman" w:cs="Times New Roman" w:eastAsia="Times New Roman" w:hAnsi="Times New Roman"/>
                <w:sz w:val="11"/>
                <w:szCs w:val="11"/>
                <w:b w:val="1"/>
                <w:bCs w:val="1"/>
                <w:color w:val="auto"/>
              </w:rPr>
              <w:t>(Translation of registrant’s name into English)</w:t>
            </w:r>
          </w:p>
        </w:tc>
        <w:tc>
          <w:tcPr>
            <w:tcW w:w="1180" w:type="dxa"/>
            <w:vAlign w:val="bottom"/>
          </w:tcPr>
          <w:p>
            <w:pPr>
              <w:spacing w:after="0"/>
              <w:rPr>
                <w:sz w:val="12"/>
                <w:szCs w:val="12"/>
                <w:color w:val="auto"/>
              </w:rPr>
            </w:pPr>
          </w:p>
        </w:tc>
      </w:tr>
      <w:tr>
        <w:trPr>
          <w:trHeight w:val="330"/>
        </w:trPr>
        <w:tc>
          <w:tcPr>
            <w:tcW w:w="4880" w:type="dxa"/>
            <w:vAlign w:val="bottom"/>
            <w:gridSpan w:val="4"/>
          </w:tcPr>
          <w:p>
            <w:pPr>
              <w:jc w:val="center"/>
              <w:ind w:right="2480"/>
              <w:spacing w:after="0"/>
              <w:rPr>
                <w:sz w:val="20"/>
                <w:szCs w:val="20"/>
                <w:color w:val="auto"/>
              </w:rPr>
            </w:pPr>
            <w:r>
              <w:rPr>
                <w:rFonts w:ascii="Times New Roman" w:cs="Times New Roman" w:eastAsia="Times New Roman" w:hAnsi="Times New Roman"/>
                <w:sz w:val="14"/>
                <w:szCs w:val="14"/>
                <w:b w:val="1"/>
                <w:bCs w:val="1"/>
                <w:color w:val="auto"/>
              </w:rPr>
              <w:t>United Mexican States</w:t>
            </w:r>
          </w:p>
        </w:tc>
        <w:tc>
          <w:tcPr>
            <w:tcW w:w="1180" w:type="dxa"/>
            <w:vAlign w:val="bottom"/>
          </w:tcPr>
          <w:p>
            <w:pPr>
              <w:jc w:val="center"/>
              <w:ind w:left="198"/>
              <w:spacing w:after="0"/>
              <w:rPr>
                <w:sz w:val="20"/>
                <w:szCs w:val="20"/>
                <w:color w:val="auto"/>
              </w:rPr>
            </w:pPr>
            <w:r>
              <w:rPr>
                <w:rFonts w:ascii="Times New Roman" w:cs="Times New Roman" w:eastAsia="Times New Roman" w:hAnsi="Times New Roman"/>
                <w:sz w:val="14"/>
                <w:szCs w:val="14"/>
                <w:b w:val="1"/>
                <w:bCs w:val="1"/>
                <w:color w:val="auto"/>
              </w:rPr>
              <w:t>Not Applicable</w:t>
            </w:r>
          </w:p>
        </w:tc>
      </w:tr>
      <w:tr>
        <w:trPr>
          <w:trHeight w:val="117"/>
        </w:trPr>
        <w:tc>
          <w:tcPr>
            <w:tcW w:w="4880" w:type="dxa"/>
            <w:vAlign w:val="bottom"/>
            <w:gridSpan w:val="4"/>
          </w:tcPr>
          <w:p>
            <w:pPr>
              <w:jc w:val="center"/>
              <w:ind w:right="2480"/>
              <w:spacing w:after="0" w:line="118" w:lineRule="exact"/>
              <w:rPr>
                <w:sz w:val="20"/>
                <w:szCs w:val="20"/>
                <w:color w:val="auto"/>
              </w:rPr>
            </w:pPr>
            <w:r>
              <w:rPr>
                <w:rFonts w:ascii="Times New Roman" w:cs="Times New Roman" w:eastAsia="Times New Roman" w:hAnsi="Times New Roman"/>
                <w:sz w:val="11"/>
                <w:szCs w:val="11"/>
                <w:b w:val="1"/>
                <w:bCs w:val="1"/>
                <w:color w:val="auto"/>
              </w:rPr>
              <w:t>(State or other jurisdiction of</w:t>
            </w:r>
          </w:p>
        </w:tc>
        <w:tc>
          <w:tcPr>
            <w:tcW w:w="1180" w:type="dxa"/>
            <w:vAlign w:val="bottom"/>
          </w:tcPr>
          <w:p>
            <w:pPr>
              <w:jc w:val="center"/>
              <w:ind w:left="158"/>
              <w:spacing w:after="0" w:line="118" w:lineRule="exact"/>
              <w:rPr>
                <w:sz w:val="20"/>
                <w:szCs w:val="20"/>
                <w:color w:val="auto"/>
              </w:rPr>
            </w:pPr>
            <w:r>
              <w:rPr>
                <w:rFonts w:ascii="Times New Roman" w:cs="Times New Roman" w:eastAsia="Times New Roman" w:hAnsi="Times New Roman"/>
                <w:sz w:val="11"/>
                <w:szCs w:val="11"/>
                <w:b w:val="1"/>
                <w:bCs w:val="1"/>
                <w:color w:val="auto"/>
              </w:rPr>
              <w:t>(I.R.S. employer</w:t>
            </w:r>
          </w:p>
        </w:tc>
      </w:tr>
      <w:tr>
        <w:trPr>
          <w:trHeight w:val="149"/>
        </w:trPr>
        <w:tc>
          <w:tcPr>
            <w:tcW w:w="4880" w:type="dxa"/>
            <w:vAlign w:val="bottom"/>
            <w:gridSpan w:val="4"/>
          </w:tcPr>
          <w:p>
            <w:pPr>
              <w:jc w:val="center"/>
              <w:ind w:right="2440"/>
              <w:spacing w:after="0"/>
              <w:rPr>
                <w:sz w:val="20"/>
                <w:szCs w:val="20"/>
                <w:color w:val="auto"/>
              </w:rPr>
            </w:pPr>
            <w:r>
              <w:rPr>
                <w:rFonts w:ascii="Times New Roman" w:cs="Times New Roman" w:eastAsia="Times New Roman" w:hAnsi="Times New Roman"/>
                <w:sz w:val="11"/>
                <w:szCs w:val="11"/>
                <w:b w:val="1"/>
                <w:bCs w:val="1"/>
                <w:color w:val="auto"/>
              </w:rPr>
              <w:t>incorporation or organization)</w:t>
            </w:r>
          </w:p>
        </w:tc>
        <w:tc>
          <w:tcPr>
            <w:tcW w:w="1180" w:type="dxa"/>
            <w:vAlign w:val="bottom"/>
          </w:tcPr>
          <w:p>
            <w:pPr>
              <w:jc w:val="center"/>
              <w:ind w:left="198"/>
              <w:spacing w:after="0"/>
              <w:rPr>
                <w:sz w:val="20"/>
                <w:szCs w:val="20"/>
                <w:color w:val="auto"/>
              </w:rPr>
            </w:pPr>
            <w:r>
              <w:rPr>
                <w:rFonts w:ascii="Times New Roman" w:cs="Times New Roman" w:eastAsia="Times New Roman" w:hAnsi="Times New Roman"/>
                <w:sz w:val="11"/>
                <w:szCs w:val="11"/>
                <w:b w:val="1"/>
                <w:bCs w:val="1"/>
                <w:color w:val="auto"/>
              </w:rPr>
              <w:t>identification no.)</w:t>
            </w:r>
          </w:p>
        </w:tc>
      </w:tr>
      <w:tr>
        <w:trPr>
          <w:trHeight w:val="311"/>
        </w:trPr>
        <w:tc>
          <w:tcPr>
            <w:tcW w:w="4880" w:type="dxa"/>
            <w:vAlign w:val="bottom"/>
            <w:gridSpan w:val="4"/>
          </w:tcPr>
          <w:p>
            <w:pPr>
              <w:jc w:val="center"/>
              <w:ind w:right="2480"/>
              <w:spacing w:after="0"/>
              <w:rPr>
                <w:sz w:val="20"/>
                <w:szCs w:val="20"/>
                <w:color w:val="auto"/>
              </w:rPr>
            </w:pPr>
            <w:r>
              <w:rPr>
                <w:rFonts w:ascii="Times New Roman" w:cs="Times New Roman" w:eastAsia="Times New Roman" w:hAnsi="Times New Roman"/>
                <w:sz w:val="14"/>
                <w:szCs w:val="14"/>
                <w:b w:val="1"/>
                <w:bCs w:val="1"/>
                <w:color w:val="auto"/>
              </w:rPr>
              <w:t>Avenida Ricardo Margáin Zozaya #325,</w:t>
            </w:r>
          </w:p>
        </w:tc>
        <w:tc>
          <w:tcPr>
            <w:tcW w:w="1180" w:type="dxa"/>
            <w:vAlign w:val="bottom"/>
          </w:tcPr>
          <w:p>
            <w:pPr>
              <w:spacing w:after="0"/>
              <w:rPr>
                <w:sz w:val="24"/>
                <w:szCs w:val="24"/>
                <w:color w:val="auto"/>
              </w:rPr>
            </w:pPr>
          </w:p>
        </w:tc>
      </w:tr>
      <w:tr>
        <w:trPr>
          <w:trHeight w:val="170"/>
        </w:trPr>
        <w:tc>
          <w:tcPr>
            <w:tcW w:w="4880" w:type="dxa"/>
            <w:vAlign w:val="bottom"/>
            <w:gridSpan w:val="4"/>
          </w:tcPr>
          <w:p>
            <w:pPr>
              <w:jc w:val="center"/>
              <w:ind w:right="2480"/>
              <w:spacing w:after="0"/>
              <w:rPr>
                <w:sz w:val="20"/>
                <w:szCs w:val="20"/>
                <w:color w:val="auto"/>
              </w:rPr>
            </w:pPr>
            <w:r>
              <w:rPr>
                <w:rFonts w:ascii="Times New Roman" w:cs="Times New Roman" w:eastAsia="Times New Roman" w:hAnsi="Times New Roman"/>
                <w:sz w:val="14"/>
                <w:szCs w:val="14"/>
                <w:b w:val="1"/>
                <w:bCs w:val="1"/>
                <w:color w:val="auto"/>
              </w:rPr>
              <w:t>Colonia Valle del Campestre,</w:t>
            </w:r>
          </w:p>
        </w:tc>
        <w:tc>
          <w:tcPr>
            <w:tcW w:w="1180" w:type="dxa"/>
            <w:vAlign w:val="bottom"/>
          </w:tcPr>
          <w:p>
            <w:pPr>
              <w:spacing w:after="0"/>
              <w:rPr>
                <w:sz w:val="14"/>
                <w:szCs w:val="14"/>
                <w:color w:val="auto"/>
              </w:rPr>
            </w:pPr>
          </w:p>
        </w:tc>
      </w:tr>
      <w:tr>
        <w:trPr>
          <w:trHeight w:val="170"/>
        </w:trPr>
        <w:tc>
          <w:tcPr>
            <w:tcW w:w="4880" w:type="dxa"/>
            <w:vAlign w:val="bottom"/>
            <w:gridSpan w:val="4"/>
          </w:tcPr>
          <w:p>
            <w:pPr>
              <w:jc w:val="center"/>
              <w:ind w:right="2480"/>
              <w:spacing w:after="0"/>
              <w:rPr>
                <w:sz w:val="20"/>
                <w:szCs w:val="20"/>
                <w:color w:val="auto"/>
              </w:rPr>
            </w:pPr>
            <w:r>
              <w:rPr>
                <w:rFonts w:ascii="Times New Roman" w:cs="Times New Roman" w:eastAsia="Times New Roman" w:hAnsi="Times New Roman"/>
                <w:sz w:val="14"/>
                <w:szCs w:val="14"/>
                <w:b w:val="1"/>
                <w:bCs w:val="1"/>
                <w:color w:val="auto"/>
              </w:rPr>
              <w:t>San Pedro Garza García,</w:t>
            </w:r>
          </w:p>
        </w:tc>
        <w:tc>
          <w:tcPr>
            <w:tcW w:w="1180" w:type="dxa"/>
            <w:vAlign w:val="bottom"/>
          </w:tcPr>
          <w:p>
            <w:pPr>
              <w:spacing w:after="0"/>
              <w:rPr>
                <w:sz w:val="14"/>
                <w:szCs w:val="14"/>
                <w:color w:val="auto"/>
              </w:rPr>
            </w:pPr>
          </w:p>
        </w:tc>
      </w:tr>
      <w:tr>
        <w:trPr>
          <w:trHeight w:val="168"/>
        </w:trPr>
        <w:tc>
          <w:tcPr>
            <w:tcW w:w="4880" w:type="dxa"/>
            <w:vAlign w:val="bottom"/>
            <w:gridSpan w:val="4"/>
          </w:tcPr>
          <w:p>
            <w:pPr>
              <w:jc w:val="center"/>
              <w:ind w:right="2480"/>
              <w:spacing w:after="0"/>
              <w:rPr>
                <w:sz w:val="20"/>
                <w:szCs w:val="20"/>
                <w:color w:val="auto"/>
              </w:rPr>
            </w:pPr>
            <w:r>
              <w:rPr>
                <w:rFonts w:ascii="Times New Roman" w:cs="Times New Roman" w:eastAsia="Times New Roman" w:hAnsi="Times New Roman"/>
                <w:sz w:val="14"/>
                <w:szCs w:val="14"/>
                <w:b w:val="1"/>
                <w:bCs w:val="1"/>
                <w:color w:val="auto"/>
              </w:rPr>
              <w:t>Nuevo León, 66265 Mexico</w:t>
            </w:r>
          </w:p>
        </w:tc>
        <w:tc>
          <w:tcPr>
            <w:tcW w:w="1180" w:type="dxa"/>
            <w:vAlign w:val="bottom"/>
          </w:tcPr>
          <w:p>
            <w:pPr>
              <w:spacing w:after="0"/>
              <w:rPr>
                <w:sz w:val="14"/>
                <w:szCs w:val="14"/>
                <w:color w:val="auto"/>
              </w:rPr>
            </w:pPr>
          </w:p>
        </w:tc>
      </w:tr>
      <w:tr>
        <w:trPr>
          <w:trHeight w:val="149"/>
        </w:trPr>
        <w:tc>
          <w:tcPr>
            <w:tcW w:w="4880" w:type="dxa"/>
            <w:vAlign w:val="bottom"/>
            <w:gridSpan w:val="4"/>
          </w:tcPr>
          <w:p>
            <w:pPr>
              <w:jc w:val="center"/>
              <w:ind w:right="2440"/>
              <w:spacing w:after="0"/>
              <w:rPr>
                <w:sz w:val="20"/>
                <w:szCs w:val="20"/>
                <w:color w:val="auto"/>
              </w:rPr>
            </w:pPr>
            <w:r>
              <w:rPr>
                <w:rFonts w:ascii="Times New Roman" w:cs="Times New Roman" w:eastAsia="Times New Roman" w:hAnsi="Times New Roman"/>
                <w:sz w:val="11"/>
                <w:szCs w:val="11"/>
                <w:b w:val="1"/>
                <w:bCs w:val="1"/>
                <w:color w:val="auto"/>
              </w:rPr>
              <w:t>(Address of principal executive offices)</w:t>
            </w:r>
          </w:p>
        </w:tc>
        <w:tc>
          <w:tcPr>
            <w:tcW w:w="1180" w:type="dxa"/>
            <w:vAlign w:val="bottom"/>
          </w:tcPr>
          <w:p>
            <w:pPr>
              <w:jc w:val="center"/>
              <w:ind w:left="198"/>
              <w:spacing w:after="0"/>
              <w:rPr>
                <w:sz w:val="20"/>
                <w:szCs w:val="20"/>
                <w:color w:val="auto"/>
              </w:rPr>
            </w:pPr>
            <w:r>
              <w:rPr>
                <w:rFonts w:ascii="Times New Roman" w:cs="Times New Roman" w:eastAsia="Times New Roman" w:hAnsi="Times New Roman"/>
                <w:sz w:val="11"/>
                <w:szCs w:val="11"/>
                <w:b w:val="1"/>
                <w:bCs w:val="1"/>
                <w:color w:val="auto"/>
                <w:w w:val="99"/>
              </w:rPr>
              <w:t>(Zip code)</w:t>
            </w:r>
          </w:p>
        </w:tc>
      </w:tr>
      <w:tr>
        <w:trPr>
          <w:trHeight w:val="275"/>
        </w:trPr>
        <w:tc>
          <w:tcPr>
            <w:tcW w:w="2440" w:type="dxa"/>
            <w:vAlign w:val="bottom"/>
          </w:tcPr>
          <w:p>
            <w:pPr>
              <w:spacing w:after="0"/>
              <w:rPr>
                <w:sz w:val="23"/>
                <w:szCs w:val="23"/>
                <w:color w:val="auto"/>
              </w:rPr>
            </w:pPr>
          </w:p>
        </w:tc>
        <w:tc>
          <w:tcPr>
            <w:tcW w:w="1840" w:type="dxa"/>
            <w:vAlign w:val="bottom"/>
            <w:tcBorders>
              <w:bottom w:val="single" w:sz="8" w:color="auto"/>
            </w:tcBorders>
          </w:tcPr>
          <w:p>
            <w:pPr>
              <w:spacing w:after="0"/>
              <w:rPr>
                <w:sz w:val="23"/>
                <w:szCs w:val="23"/>
                <w:color w:val="auto"/>
              </w:rPr>
            </w:pPr>
          </w:p>
        </w:tc>
        <w:tc>
          <w:tcPr>
            <w:tcW w:w="600" w:type="dxa"/>
            <w:vAlign w:val="bottom"/>
            <w:gridSpan w:val="2"/>
          </w:tcPr>
          <w:p>
            <w:pPr>
              <w:spacing w:after="0"/>
              <w:rPr>
                <w:sz w:val="23"/>
                <w:szCs w:val="23"/>
                <w:color w:val="auto"/>
              </w:rPr>
            </w:pPr>
          </w:p>
        </w:tc>
        <w:tc>
          <w:tcPr>
            <w:tcW w:w="1180" w:type="dxa"/>
            <w:vAlign w:val="bottom"/>
          </w:tcPr>
          <w:p>
            <w:pPr>
              <w:spacing w:after="0"/>
              <w:rPr>
                <w:sz w:val="23"/>
                <w:szCs w:val="23"/>
                <w:color w:val="auto"/>
              </w:rPr>
            </w:pPr>
          </w:p>
        </w:tc>
      </w:tr>
      <w:tr>
        <w:trPr>
          <w:trHeight w:val="312"/>
        </w:trPr>
        <w:tc>
          <w:tcPr>
            <w:tcW w:w="2440" w:type="dxa"/>
            <w:vAlign w:val="bottom"/>
          </w:tcPr>
          <w:p>
            <w:pPr>
              <w:spacing w:after="0"/>
              <w:rPr>
                <w:sz w:val="24"/>
                <w:szCs w:val="24"/>
                <w:color w:val="auto"/>
              </w:rPr>
            </w:pPr>
          </w:p>
        </w:tc>
        <w:tc>
          <w:tcPr>
            <w:tcW w:w="2440" w:type="dxa"/>
            <w:vAlign w:val="bottom"/>
            <w:gridSpan w:val="3"/>
          </w:tcPr>
          <w:p>
            <w:pPr>
              <w:jc w:val="center"/>
              <w:ind w:right="600"/>
              <w:spacing w:after="0"/>
              <w:rPr>
                <w:sz w:val="20"/>
                <w:szCs w:val="20"/>
                <w:color w:val="auto"/>
              </w:rPr>
            </w:pPr>
            <w:r>
              <w:rPr>
                <w:rFonts w:ascii="Times New Roman" w:cs="Times New Roman" w:eastAsia="Times New Roman" w:hAnsi="Times New Roman"/>
                <w:sz w:val="14"/>
                <w:szCs w:val="14"/>
                <w:b w:val="1"/>
                <w:bCs w:val="1"/>
                <w:color w:val="auto"/>
              </w:rPr>
              <w:t>Cemex Corp.</w:t>
            </w:r>
          </w:p>
        </w:tc>
        <w:tc>
          <w:tcPr>
            <w:tcW w:w="1180" w:type="dxa"/>
            <w:vAlign w:val="bottom"/>
          </w:tcPr>
          <w:p>
            <w:pPr>
              <w:spacing w:after="0"/>
              <w:rPr>
                <w:sz w:val="24"/>
                <w:szCs w:val="24"/>
                <w:color w:val="auto"/>
              </w:rPr>
            </w:pPr>
          </w:p>
        </w:tc>
      </w:tr>
      <w:tr>
        <w:trPr>
          <w:trHeight w:val="149"/>
        </w:trPr>
        <w:tc>
          <w:tcPr>
            <w:tcW w:w="4880" w:type="dxa"/>
            <w:vAlign w:val="bottom"/>
            <w:gridSpan w:val="4"/>
          </w:tcPr>
          <w:p>
            <w:pPr>
              <w:jc w:val="center"/>
              <w:ind w:left="1796"/>
              <w:spacing w:after="0"/>
              <w:rPr>
                <w:sz w:val="20"/>
                <w:szCs w:val="20"/>
                <w:color w:val="auto"/>
              </w:rPr>
            </w:pPr>
            <w:r>
              <w:rPr>
                <w:rFonts w:ascii="Times New Roman" w:cs="Times New Roman" w:eastAsia="Times New Roman" w:hAnsi="Times New Roman"/>
                <w:sz w:val="11"/>
                <w:szCs w:val="11"/>
                <w:b w:val="1"/>
                <w:bCs w:val="1"/>
                <w:color w:val="auto"/>
              </w:rPr>
              <w:t>(Exact name of registrant as specified in its charter)</w:t>
            </w:r>
          </w:p>
        </w:tc>
        <w:tc>
          <w:tcPr>
            <w:tcW w:w="1180" w:type="dxa"/>
            <w:vAlign w:val="bottom"/>
          </w:tcPr>
          <w:p>
            <w:pPr>
              <w:spacing w:after="0"/>
              <w:rPr>
                <w:sz w:val="12"/>
                <w:szCs w:val="12"/>
                <w:color w:val="auto"/>
              </w:rPr>
            </w:pPr>
          </w:p>
        </w:tc>
      </w:tr>
      <w:tr>
        <w:trPr>
          <w:trHeight w:val="264"/>
        </w:trPr>
        <w:tc>
          <w:tcPr>
            <w:tcW w:w="2440" w:type="dxa"/>
            <w:vAlign w:val="bottom"/>
          </w:tcPr>
          <w:p>
            <w:pPr>
              <w:spacing w:after="0"/>
              <w:rPr>
                <w:sz w:val="22"/>
                <w:szCs w:val="22"/>
                <w:color w:val="auto"/>
              </w:rPr>
            </w:pPr>
          </w:p>
        </w:tc>
        <w:tc>
          <w:tcPr>
            <w:tcW w:w="1840" w:type="dxa"/>
            <w:vAlign w:val="bottom"/>
            <w:tcBorders>
              <w:bottom w:val="single" w:sz="8" w:color="auto"/>
            </w:tcBorders>
          </w:tcPr>
          <w:p>
            <w:pPr>
              <w:spacing w:after="0"/>
              <w:rPr>
                <w:sz w:val="22"/>
                <w:szCs w:val="22"/>
                <w:color w:val="auto"/>
              </w:rPr>
            </w:pPr>
          </w:p>
        </w:tc>
        <w:tc>
          <w:tcPr>
            <w:tcW w:w="600" w:type="dxa"/>
            <w:vAlign w:val="bottom"/>
            <w:gridSpan w:val="2"/>
          </w:tcPr>
          <w:p>
            <w:pPr>
              <w:spacing w:after="0"/>
              <w:rPr>
                <w:sz w:val="22"/>
                <w:szCs w:val="22"/>
                <w:color w:val="auto"/>
              </w:rPr>
            </w:pPr>
          </w:p>
        </w:tc>
        <w:tc>
          <w:tcPr>
            <w:tcW w:w="1180" w:type="dxa"/>
            <w:vAlign w:val="bottom"/>
          </w:tcPr>
          <w:p>
            <w:pPr>
              <w:spacing w:after="0"/>
              <w:rPr>
                <w:sz w:val="22"/>
                <w:szCs w:val="22"/>
                <w:color w:val="auto"/>
              </w:rPr>
            </w:pPr>
          </w:p>
        </w:tc>
      </w:tr>
      <w:tr>
        <w:trPr>
          <w:trHeight w:val="365"/>
        </w:trPr>
        <w:tc>
          <w:tcPr>
            <w:tcW w:w="4880" w:type="dxa"/>
            <w:vAlign w:val="bottom"/>
            <w:gridSpan w:val="4"/>
          </w:tcPr>
          <w:p>
            <w:pPr>
              <w:jc w:val="center"/>
              <w:ind w:right="2480"/>
              <w:spacing w:after="0"/>
              <w:rPr>
                <w:sz w:val="20"/>
                <w:szCs w:val="20"/>
                <w:color w:val="auto"/>
              </w:rPr>
            </w:pPr>
            <w:r>
              <w:rPr>
                <w:rFonts w:ascii="Times New Roman" w:cs="Times New Roman" w:eastAsia="Times New Roman" w:hAnsi="Times New Roman"/>
                <w:sz w:val="14"/>
                <w:szCs w:val="14"/>
                <w:b w:val="1"/>
                <w:bCs w:val="1"/>
                <w:color w:val="auto"/>
                <w:w w:val="98"/>
              </w:rPr>
              <w:t>Delaware</w:t>
            </w:r>
          </w:p>
        </w:tc>
        <w:tc>
          <w:tcPr>
            <w:tcW w:w="1180" w:type="dxa"/>
            <w:vAlign w:val="bottom"/>
          </w:tcPr>
          <w:p>
            <w:pPr>
              <w:jc w:val="center"/>
              <w:ind w:left="158"/>
              <w:spacing w:after="0"/>
              <w:rPr>
                <w:sz w:val="20"/>
                <w:szCs w:val="20"/>
                <w:color w:val="auto"/>
              </w:rPr>
            </w:pPr>
            <w:r>
              <w:rPr>
                <w:rFonts w:ascii="Times New Roman" w:cs="Times New Roman" w:eastAsia="Times New Roman" w:hAnsi="Times New Roman"/>
                <w:sz w:val="14"/>
                <w:szCs w:val="14"/>
                <w:b w:val="1"/>
                <w:bCs w:val="1"/>
                <w:color w:val="auto"/>
              </w:rPr>
              <w:t>74-2501935</w:t>
            </w:r>
          </w:p>
        </w:tc>
      </w:tr>
      <w:tr>
        <w:trPr>
          <w:trHeight w:val="117"/>
        </w:trPr>
        <w:tc>
          <w:tcPr>
            <w:tcW w:w="4880" w:type="dxa"/>
            <w:vAlign w:val="bottom"/>
            <w:gridSpan w:val="4"/>
          </w:tcPr>
          <w:p>
            <w:pPr>
              <w:jc w:val="center"/>
              <w:ind w:right="2480"/>
              <w:spacing w:after="0" w:line="118" w:lineRule="exact"/>
              <w:rPr>
                <w:sz w:val="20"/>
                <w:szCs w:val="20"/>
                <w:color w:val="auto"/>
              </w:rPr>
            </w:pPr>
            <w:r>
              <w:rPr>
                <w:rFonts w:ascii="Times New Roman" w:cs="Times New Roman" w:eastAsia="Times New Roman" w:hAnsi="Times New Roman"/>
                <w:sz w:val="11"/>
                <w:szCs w:val="11"/>
                <w:b w:val="1"/>
                <w:bCs w:val="1"/>
                <w:color w:val="auto"/>
              </w:rPr>
              <w:t>(State or other jurisdiction of</w:t>
            </w:r>
          </w:p>
        </w:tc>
        <w:tc>
          <w:tcPr>
            <w:tcW w:w="1180" w:type="dxa"/>
            <w:vAlign w:val="bottom"/>
          </w:tcPr>
          <w:p>
            <w:pPr>
              <w:jc w:val="center"/>
              <w:ind w:left="158"/>
              <w:spacing w:after="0" w:line="118" w:lineRule="exact"/>
              <w:rPr>
                <w:sz w:val="20"/>
                <w:szCs w:val="20"/>
                <w:color w:val="auto"/>
              </w:rPr>
            </w:pPr>
            <w:r>
              <w:rPr>
                <w:rFonts w:ascii="Times New Roman" w:cs="Times New Roman" w:eastAsia="Times New Roman" w:hAnsi="Times New Roman"/>
                <w:sz w:val="11"/>
                <w:szCs w:val="11"/>
                <w:b w:val="1"/>
                <w:bCs w:val="1"/>
                <w:color w:val="auto"/>
              </w:rPr>
              <w:t>(I.R.S. employer</w:t>
            </w:r>
          </w:p>
        </w:tc>
      </w:tr>
      <w:tr>
        <w:trPr>
          <w:trHeight w:val="149"/>
        </w:trPr>
        <w:tc>
          <w:tcPr>
            <w:tcW w:w="4880" w:type="dxa"/>
            <w:vAlign w:val="bottom"/>
            <w:gridSpan w:val="4"/>
          </w:tcPr>
          <w:p>
            <w:pPr>
              <w:jc w:val="center"/>
              <w:ind w:right="2480"/>
              <w:spacing w:after="0"/>
              <w:rPr>
                <w:sz w:val="20"/>
                <w:szCs w:val="20"/>
                <w:color w:val="auto"/>
              </w:rPr>
            </w:pPr>
            <w:r>
              <w:rPr>
                <w:rFonts w:ascii="Times New Roman" w:cs="Times New Roman" w:eastAsia="Times New Roman" w:hAnsi="Times New Roman"/>
                <w:sz w:val="11"/>
                <w:szCs w:val="11"/>
                <w:b w:val="1"/>
                <w:bCs w:val="1"/>
                <w:color w:val="auto"/>
              </w:rPr>
              <w:t>incorporation or organization)</w:t>
            </w:r>
          </w:p>
        </w:tc>
        <w:tc>
          <w:tcPr>
            <w:tcW w:w="1180" w:type="dxa"/>
            <w:vAlign w:val="bottom"/>
          </w:tcPr>
          <w:p>
            <w:pPr>
              <w:jc w:val="center"/>
              <w:ind w:left="198"/>
              <w:spacing w:after="0"/>
              <w:rPr>
                <w:sz w:val="20"/>
                <w:szCs w:val="20"/>
                <w:color w:val="auto"/>
              </w:rPr>
            </w:pPr>
            <w:r>
              <w:rPr>
                <w:rFonts w:ascii="Times New Roman" w:cs="Times New Roman" w:eastAsia="Times New Roman" w:hAnsi="Times New Roman"/>
                <w:sz w:val="11"/>
                <w:szCs w:val="11"/>
                <w:b w:val="1"/>
                <w:bCs w:val="1"/>
                <w:color w:val="auto"/>
              </w:rPr>
              <w:t>identification no.)</w:t>
            </w:r>
          </w:p>
        </w:tc>
      </w:tr>
      <w:tr>
        <w:trPr>
          <w:trHeight w:val="311"/>
        </w:trPr>
        <w:tc>
          <w:tcPr>
            <w:tcW w:w="4880" w:type="dxa"/>
            <w:vAlign w:val="bottom"/>
            <w:gridSpan w:val="4"/>
          </w:tcPr>
          <w:p>
            <w:pPr>
              <w:jc w:val="center"/>
              <w:ind w:right="2480"/>
              <w:spacing w:after="0"/>
              <w:rPr>
                <w:sz w:val="20"/>
                <w:szCs w:val="20"/>
                <w:color w:val="auto"/>
              </w:rPr>
            </w:pPr>
            <w:r>
              <w:rPr>
                <w:rFonts w:ascii="Times New Roman" w:cs="Times New Roman" w:eastAsia="Times New Roman" w:hAnsi="Times New Roman"/>
                <w:sz w:val="14"/>
                <w:szCs w:val="14"/>
                <w:b w:val="1"/>
                <w:bCs w:val="1"/>
                <w:color w:val="auto"/>
              </w:rPr>
              <w:t>590 Madison Avenue, 27th Floor</w:t>
            </w:r>
          </w:p>
        </w:tc>
        <w:tc>
          <w:tcPr>
            <w:tcW w:w="1180" w:type="dxa"/>
            <w:vAlign w:val="bottom"/>
          </w:tcPr>
          <w:p>
            <w:pPr>
              <w:spacing w:after="0"/>
              <w:rPr>
                <w:sz w:val="24"/>
                <w:szCs w:val="24"/>
                <w:color w:val="auto"/>
              </w:rPr>
            </w:pPr>
          </w:p>
        </w:tc>
      </w:tr>
      <w:tr>
        <w:trPr>
          <w:trHeight w:val="168"/>
        </w:trPr>
        <w:tc>
          <w:tcPr>
            <w:tcW w:w="4880" w:type="dxa"/>
            <w:vAlign w:val="bottom"/>
            <w:gridSpan w:val="4"/>
          </w:tcPr>
          <w:p>
            <w:pPr>
              <w:jc w:val="center"/>
              <w:ind w:right="2480"/>
              <w:spacing w:after="0"/>
              <w:rPr>
                <w:sz w:val="20"/>
                <w:szCs w:val="20"/>
                <w:color w:val="auto"/>
              </w:rPr>
            </w:pPr>
            <w:r>
              <w:rPr>
                <w:rFonts w:ascii="Times New Roman" w:cs="Times New Roman" w:eastAsia="Times New Roman" w:hAnsi="Times New Roman"/>
                <w:sz w:val="14"/>
                <w:szCs w:val="14"/>
                <w:b w:val="1"/>
                <w:bCs w:val="1"/>
                <w:color w:val="auto"/>
                <w:w w:val="99"/>
              </w:rPr>
              <w:t>New York, New York</w:t>
            </w:r>
          </w:p>
        </w:tc>
        <w:tc>
          <w:tcPr>
            <w:tcW w:w="1180" w:type="dxa"/>
            <w:vAlign w:val="bottom"/>
          </w:tcPr>
          <w:p>
            <w:pPr>
              <w:jc w:val="center"/>
              <w:ind w:left="158"/>
              <w:spacing w:after="0"/>
              <w:rPr>
                <w:sz w:val="20"/>
                <w:szCs w:val="20"/>
                <w:color w:val="auto"/>
              </w:rPr>
            </w:pPr>
            <w:r>
              <w:rPr>
                <w:rFonts w:ascii="Times New Roman" w:cs="Times New Roman" w:eastAsia="Times New Roman" w:hAnsi="Times New Roman"/>
                <w:sz w:val="14"/>
                <w:szCs w:val="14"/>
                <w:b w:val="1"/>
                <w:bCs w:val="1"/>
                <w:color w:val="auto"/>
              </w:rPr>
              <w:t>10022</w:t>
            </w:r>
          </w:p>
        </w:tc>
      </w:tr>
      <w:tr>
        <w:trPr>
          <w:trHeight w:val="149"/>
        </w:trPr>
        <w:tc>
          <w:tcPr>
            <w:tcW w:w="4880" w:type="dxa"/>
            <w:vAlign w:val="bottom"/>
            <w:gridSpan w:val="4"/>
          </w:tcPr>
          <w:p>
            <w:pPr>
              <w:jc w:val="center"/>
              <w:ind w:right="2440"/>
              <w:spacing w:after="0"/>
              <w:rPr>
                <w:sz w:val="20"/>
                <w:szCs w:val="20"/>
                <w:color w:val="auto"/>
              </w:rPr>
            </w:pPr>
            <w:r>
              <w:rPr>
                <w:rFonts w:ascii="Times New Roman" w:cs="Times New Roman" w:eastAsia="Times New Roman" w:hAnsi="Times New Roman"/>
                <w:sz w:val="11"/>
                <w:szCs w:val="11"/>
                <w:b w:val="1"/>
                <w:bCs w:val="1"/>
                <w:color w:val="auto"/>
              </w:rPr>
              <w:t>(Address of principal executive offices)</w:t>
            </w:r>
          </w:p>
        </w:tc>
        <w:tc>
          <w:tcPr>
            <w:tcW w:w="1180" w:type="dxa"/>
            <w:vAlign w:val="bottom"/>
          </w:tcPr>
          <w:p>
            <w:pPr>
              <w:jc w:val="center"/>
              <w:ind w:left="198"/>
              <w:spacing w:after="0"/>
              <w:rPr>
                <w:sz w:val="20"/>
                <w:szCs w:val="20"/>
                <w:color w:val="auto"/>
              </w:rPr>
            </w:pPr>
            <w:r>
              <w:rPr>
                <w:rFonts w:ascii="Times New Roman" w:cs="Times New Roman" w:eastAsia="Times New Roman" w:hAnsi="Times New Roman"/>
                <w:sz w:val="11"/>
                <w:szCs w:val="11"/>
                <w:b w:val="1"/>
                <w:bCs w:val="1"/>
                <w:color w:val="auto"/>
                <w:w w:val="99"/>
              </w:rPr>
              <w:t>(Zip code)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2279015</wp:posOffset>
            </wp:positionH>
            <wp:positionV relativeFrom="paragraph">
              <wp:posOffset>167640</wp:posOffset>
            </wp:positionV>
            <wp:extent cx="1162050" cy="698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5">
                      <a:extLst>
                        <a:ext uri="{28A0092B-C50C-407E-A947-70E740481C1C}"/>
                      </a:extLst>
                    </a:blip>
                    <a:srcRect/>
                    <a:stretch>
                      <a:fillRect/>
                    </a:stretch>
                  </pic:blipFill>
                  <pic:spPr bwMode="auto">
                    <a:xfrm>
                      <a:off x="0" y="0"/>
                      <a:ext cx="1162050" cy="6985"/>
                    </a:xfrm>
                    <a:prstGeom prst="rect">
                      <a:avLst/>
                    </a:prstGeom>
                    <a:noFill/>
                  </pic:spPr>
                </pic:pic>
              </a:graphicData>
            </a:graphic>
          </wp:anchor>
        </w:drawing>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Debt Securities</w:t>
      </w:r>
    </w:p>
    <w:p>
      <w:pPr>
        <w:spacing w:after="0" w:line="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and Guarantees of Debt Securities</w:t>
      </w:r>
    </w:p>
    <w:p>
      <w:pPr>
        <w:spacing w:after="0" w:line="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1"/>
          <w:szCs w:val="11"/>
          <w:b w:val="1"/>
          <w:bCs w:val="1"/>
          <w:color w:val="auto"/>
        </w:rPr>
        <w:t>(Title of the indenture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103505</wp:posOffset>
            </wp:positionH>
            <wp:positionV relativeFrom="paragraph">
              <wp:posOffset>112395</wp:posOffset>
            </wp:positionV>
            <wp:extent cx="5513070" cy="698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6">
                      <a:extLst>
                        <a:ext uri="{28A0092B-C50C-407E-A947-70E740481C1C}"/>
                      </a:extLst>
                    </a:blip>
                    <a:srcRect/>
                    <a:stretch>
                      <a:fillRect/>
                    </a:stretch>
                  </pic:blipFill>
                  <pic:spPr bwMode="auto">
                    <a:xfrm>
                      <a:off x="0" y="0"/>
                      <a:ext cx="5513070" cy="6985"/>
                    </a:xfrm>
                    <a:prstGeom prst="rect">
                      <a:avLst/>
                    </a:prstGeom>
                    <a:noFill/>
                  </pic:spPr>
                </pic:pic>
              </a:graphicData>
            </a:graphic>
          </wp:anchor>
        </w:drawing>
        <w:drawing>
          <wp:anchor simplePos="0" relativeHeight="251657728" behindDoc="1" locked="0" layoutInCell="0" allowOverlap="1">
            <wp:simplePos x="0" y="0"/>
            <wp:positionH relativeFrom="column">
              <wp:posOffset>103505</wp:posOffset>
            </wp:positionH>
            <wp:positionV relativeFrom="paragraph">
              <wp:posOffset>146050</wp:posOffset>
            </wp:positionV>
            <wp:extent cx="5513070" cy="698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7">
                      <a:extLst>
                        <a:ext uri="{28A0092B-C50C-407E-A947-70E740481C1C}"/>
                      </a:extLst>
                    </a:blip>
                    <a:srcRect/>
                    <a:stretch>
                      <a:fillRect/>
                    </a:stretch>
                  </pic:blipFill>
                  <pic:spPr bwMode="auto">
                    <a:xfrm>
                      <a:off x="0" y="0"/>
                      <a:ext cx="5513070" cy="698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125" w:name="page126"/>
    <w:bookmarkEnd w:id="125"/>
    <w:p>
      <w:pPr>
        <w:ind w:left="500" w:hanging="337"/>
        <w:spacing w:after="0"/>
        <w:tabs>
          <w:tab w:leader="none" w:pos="500" w:val="left"/>
        </w:tabs>
        <w:numPr>
          <w:ilvl w:val="0"/>
          <w:numId w:val="117"/>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8">
                      <a:extLst>
                        <a:ext uri="{28A0092B-C50C-407E-A947-70E740481C1C}"/>
                      </a:extLst>
                    </a:blip>
                    <a:srcRect/>
                    <a:stretch>
                      <a:fillRect/>
                    </a:stretch>
                  </pic:blipFill>
                  <pic:spPr bwMode="auto">
                    <a:xfrm>
                      <a:off x="0" y="0"/>
                      <a:ext cx="7200265" cy="33020"/>
                    </a:xfrm>
                    <a:prstGeom prst="rect">
                      <a:avLst/>
                    </a:prstGeom>
                    <a:noFill/>
                  </pic:spPr>
                </pic:pic>
              </a:graphicData>
            </a:graphic>
          </wp:anchor>
        </w:drawing>
        <w:t>General information. Furnish the following information as to the Trustee:</w:t>
      </w:r>
    </w:p>
    <w:p>
      <w:pPr>
        <w:spacing w:after="0" w:line="105" w:lineRule="exact"/>
        <w:rPr>
          <w:rFonts w:ascii="Times New Roman" w:cs="Times New Roman" w:eastAsia="Times New Roman" w:hAnsi="Times New Roman"/>
          <w:sz w:val="14"/>
          <w:szCs w:val="14"/>
          <w:b w:val="1"/>
          <w:bCs w:val="1"/>
          <w:color w:val="auto"/>
        </w:rPr>
      </w:pPr>
    </w:p>
    <w:p>
      <w:pPr>
        <w:ind w:left="920" w:hanging="416"/>
        <w:spacing w:after="0"/>
        <w:tabs>
          <w:tab w:leader="none" w:pos="920" w:val="left"/>
        </w:tabs>
        <w:numPr>
          <w:ilvl w:val="1"/>
          <w:numId w:val="117"/>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Name and address of each examining or supervising authority to which it is subject.</w:t>
      </w:r>
    </w:p>
    <w:p>
      <w:pPr>
        <w:spacing w:after="0" w:line="200" w:lineRule="exact"/>
        <w:rPr>
          <w:sz w:val="20"/>
          <w:szCs w:val="20"/>
          <w:color w:val="auto"/>
        </w:rPr>
      </w:pPr>
    </w:p>
    <w:tbl>
      <w:tblPr>
        <w:tblLayout w:type="fixed"/>
        <w:tblInd w:w="940" w:type="dxa"/>
        <w:tblCellMar>
          <w:top w:w="0" w:type="dxa"/>
          <w:left w:w="0" w:type="dxa"/>
          <w:bottom w:w="0" w:type="dxa"/>
          <w:right w:w="0" w:type="dxa"/>
        </w:tblCellMar>
      </w:tblPr>
      <w:tr>
        <w:trPr>
          <w:trHeight w:val="134"/>
        </w:trPr>
        <w:tc>
          <w:tcPr>
            <w:tcW w:w="1680" w:type="dxa"/>
            <w:vAlign w:val="bottom"/>
          </w:tcPr>
          <w:p>
            <w:pPr>
              <w:spacing w:after="0"/>
              <w:rPr>
                <w:sz w:val="11"/>
                <w:szCs w:val="11"/>
                <w:color w:val="auto"/>
              </w:rPr>
            </w:pPr>
          </w:p>
        </w:tc>
        <w:tc>
          <w:tcPr>
            <w:tcW w:w="280" w:type="dxa"/>
            <w:vAlign w:val="bottom"/>
          </w:tcPr>
          <w:p>
            <w:pPr>
              <w:spacing w:after="0"/>
              <w:rPr>
                <w:sz w:val="20"/>
                <w:szCs w:val="20"/>
                <w:color w:val="auto"/>
              </w:rPr>
            </w:pPr>
            <w:r>
              <w:rPr>
                <w:rFonts w:ascii="Times New Roman" w:cs="Times New Roman" w:eastAsia="Times New Roman" w:hAnsi="Times New Roman"/>
                <w:sz w:val="11"/>
                <w:szCs w:val="11"/>
                <w:color w:val="auto"/>
                <w:w w:val="98"/>
              </w:rPr>
              <w:t>Name</w:t>
            </w:r>
          </w:p>
        </w:tc>
        <w:tc>
          <w:tcPr>
            <w:tcW w:w="1660" w:type="dxa"/>
            <w:vAlign w:val="bottom"/>
          </w:tcPr>
          <w:p>
            <w:pPr>
              <w:spacing w:after="0"/>
              <w:rPr>
                <w:sz w:val="11"/>
                <w:szCs w:val="11"/>
                <w:color w:val="auto"/>
              </w:rPr>
            </w:pPr>
          </w:p>
        </w:tc>
        <w:tc>
          <w:tcPr>
            <w:tcW w:w="3460" w:type="dxa"/>
            <w:vAlign w:val="bottom"/>
            <w:gridSpan w:val="3"/>
          </w:tcPr>
          <w:p>
            <w:pPr>
              <w:ind w:left="1600"/>
              <w:spacing w:after="0"/>
              <w:rPr>
                <w:sz w:val="20"/>
                <w:szCs w:val="20"/>
                <w:color w:val="auto"/>
              </w:rPr>
            </w:pPr>
            <w:r>
              <w:rPr>
                <w:rFonts w:ascii="Times New Roman" w:cs="Times New Roman" w:eastAsia="Times New Roman" w:hAnsi="Times New Roman"/>
                <w:sz w:val="11"/>
                <w:szCs w:val="11"/>
                <w:color w:val="auto"/>
              </w:rPr>
              <w:t>Address</w:t>
            </w:r>
          </w:p>
        </w:tc>
      </w:tr>
      <w:tr>
        <w:trPr>
          <w:trHeight w:val="20"/>
        </w:trPr>
        <w:tc>
          <w:tcPr>
            <w:tcW w:w="16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231"/>
        </w:trPr>
        <w:tc>
          <w:tcPr>
            <w:tcW w:w="362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Superintendent of the Department of Financial Services of the</w:t>
            </w:r>
          </w:p>
        </w:tc>
        <w:tc>
          <w:tcPr>
            <w:tcW w:w="3460" w:type="dxa"/>
            <w:vAlign w:val="bottom"/>
            <w:gridSpan w:val="3"/>
          </w:tcPr>
          <w:p>
            <w:pPr>
              <w:ind w:left="80"/>
              <w:spacing w:after="0"/>
              <w:rPr>
                <w:sz w:val="20"/>
                <w:szCs w:val="20"/>
                <w:color w:val="auto"/>
              </w:rPr>
            </w:pPr>
            <w:r>
              <w:rPr>
                <w:rFonts w:ascii="Times New Roman" w:cs="Times New Roman" w:eastAsia="Times New Roman" w:hAnsi="Times New Roman"/>
                <w:sz w:val="14"/>
                <w:szCs w:val="14"/>
                <w:color w:val="auto"/>
                <w:w w:val="99"/>
              </w:rPr>
              <w:t>One State Street, New York, N.Y. 10004-1417, and Albany,</w:t>
            </w:r>
          </w:p>
        </w:tc>
      </w:tr>
      <w:tr>
        <w:trPr>
          <w:trHeight w:val="184"/>
        </w:trPr>
        <w:tc>
          <w:tcPr>
            <w:tcW w:w="362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State of New York</w:t>
            </w:r>
          </w:p>
        </w:tc>
        <w:tc>
          <w:tcPr>
            <w:tcW w:w="3460" w:type="dxa"/>
            <w:vAlign w:val="bottom"/>
            <w:gridSpan w:val="3"/>
          </w:tcPr>
          <w:p>
            <w:pPr>
              <w:ind w:left="80"/>
              <w:spacing w:after="0"/>
              <w:rPr>
                <w:sz w:val="20"/>
                <w:szCs w:val="20"/>
                <w:color w:val="auto"/>
              </w:rPr>
            </w:pPr>
            <w:r>
              <w:rPr>
                <w:rFonts w:ascii="Times New Roman" w:cs="Times New Roman" w:eastAsia="Times New Roman" w:hAnsi="Times New Roman"/>
                <w:sz w:val="14"/>
                <w:szCs w:val="14"/>
                <w:color w:val="auto"/>
              </w:rPr>
              <w:t>N.Y. 12223</w:t>
            </w:r>
          </w:p>
        </w:tc>
      </w:tr>
      <w:tr>
        <w:trPr>
          <w:trHeight w:val="255"/>
        </w:trPr>
        <w:tc>
          <w:tcPr>
            <w:tcW w:w="362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Federal Reserve Bank of New York</w:t>
            </w:r>
          </w:p>
        </w:tc>
        <w:tc>
          <w:tcPr>
            <w:tcW w:w="3460" w:type="dxa"/>
            <w:vAlign w:val="bottom"/>
            <w:gridSpan w:val="3"/>
          </w:tcPr>
          <w:p>
            <w:pPr>
              <w:ind w:left="80"/>
              <w:spacing w:after="0"/>
              <w:rPr>
                <w:sz w:val="20"/>
                <w:szCs w:val="20"/>
                <w:color w:val="auto"/>
              </w:rPr>
            </w:pPr>
            <w:r>
              <w:rPr>
                <w:rFonts w:ascii="Times New Roman" w:cs="Times New Roman" w:eastAsia="Times New Roman" w:hAnsi="Times New Roman"/>
                <w:sz w:val="14"/>
                <w:szCs w:val="14"/>
                <w:color w:val="auto"/>
              </w:rPr>
              <w:t>33 Liberty Street, New York, N.Y. 10045</w:t>
            </w:r>
          </w:p>
        </w:tc>
      </w:tr>
      <w:tr>
        <w:trPr>
          <w:trHeight w:val="241"/>
        </w:trPr>
        <w:tc>
          <w:tcPr>
            <w:tcW w:w="362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Federal Deposit Insurance Corporation</w:t>
            </w:r>
          </w:p>
        </w:tc>
        <w:tc>
          <w:tcPr>
            <w:tcW w:w="3460" w:type="dxa"/>
            <w:vAlign w:val="bottom"/>
            <w:gridSpan w:val="3"/>
          </w:tcPr>
          <w:p>
            <w:pPr>
              <w:ind w:left="80"/>
              <w:spacing w:after="0"/>
              <w:rPr>
                <w:sz w:val="20"/>
                <w:szCs w:val="20"/>
                <w:color w:val="auto"/>
              </w:rPr>
            </w:pPr>
            <w:r>
              <w:rPr>
                <w:rFonts w:ascii="Times New Roman" w:cs="Times New Roman" w:eastAsia="Times New Roman" w:hAnsi="Times New Roman"/>
                <w:sz w:val="14"/>
                <w:szCs w:val="14"/>
                <w:color w:val="auto"/>
              </w:rPr>
              <w:t>550 17</w:t>
            </w:r>
            <w:r>
              <w:rPr>
                <w:rFonts w:ascii="Times New Roman" w:cs="Times New Roman" w:eastAsia="Times New Roman" w:hAnsi="Times New Roman"/>
                <w:sz w:val="21"/>
                <w:szCs w:val="21"/>
                <w:color w:val="auto"/>
                <w:vertAlign w:val="superscript"/>
              </w:rPr>
              <w:t>th</w:t>
            </w:r>
            <w:r>
              <w:rPr>
                <w:rFonts w:ascii="Times New Roman" w:cs="Times New Roman" w:eastAsia="Times New Roman" w:hAnsi="Times New Roman"/>
                <w:sz w:val="14"/>
                <w:szCs w:val="14"/>
                <w:color w:val="auto"/>
              </w:rPr>
              <w:t xml:space="preserve"> Street, NW</w:t>
            </w:r>
          </w:p>
        </w:tc>
      </w:tr>
      <w:tr>
        <w:trPr>
          <w:trHeight w:val="184"/>
        </w:trPr>
        <w:tc>
          <w:tcPr>
            <w:tcW w:w="16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3460" w:type="dxa"/>
            <w:vAlign w:val="bottom"/>
            <w:gridSpan w:val="3"/>
          </w:tcPr>
          <w:p>
            <w:pPr>
              <w:ind w:left="80"/>
              <w:spacing w:after="0"/>
              <w:rPr>
                <w:sz w:val="20"/>
                <w:szCs w:val="20"/>
                <w:color w:val="auto"/>
              </w:rPr>
            </w:pPr>
            <w:r>
              <w:rPr>
                <w:rFonts w:ascii="Times New Roman" w:cs="Times New Roman" w:eastAsia="Times New Roman" w:hAnsi="Times New Roman"/>
                <w:sz w:val="14"/>
                <w:szCs w:val="14"/>
                <w:color w:val="auto"/>
              </w:rPr>
              <w:t>Washington, D.C. 20429</w:t>
            </w:r>
          </w:p>
        </w:tc>
      </w:tr>
      <w:tr>
        <w:trPr>
          <w:trHeight w:val="241"/>
        </w:trPr>
        <w:tc>
          <w:tcPr>
            <w:tcW w:w="362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The Clearing House Association L.L.C.</w:t>
            </w:r>
          </w:p>
        </w:tc>
        <w:tc>
          <w:tcPr>
            <w:tcW w:w="3460" w:type="dxa"/>
            <w:vAlign w:val="bottom"/>
            <w:gridSpan w:val="3"/>
          </w:tcPr>
          <w:p>
            <w:pPr>
              <w:ind w:left="80"/>
              <w:spacing w:after="0"/>
              <w:rPr>
                <w:sz w:val="20"/>
                <w:szCs w:val="20"/>
                <w:color w:val="auto"/>
              </w:rPr>
            </w:pPr>
            <w:r>
              <w:rPr>
                <w:rFonts w:ascii="Times New Roman" w:cs="Times New Roman" w:eastAsia="Times New Roman" w:hAnsi="Times New Roman"/>
                <w:sz w:val="14"/>
                <w:szCs w:val="14"/>
                <w:color w:val="auto"/>
              </w:rPr>
              <w:t>100 Broad Street</w:t>
            </w:r>
          </w:p>
        </w:tc>
      </w:tr>
      <w:tr>
        <w:trPr>
          <w:trHeight w:val="184"/>
        </w:trPr>
        <w:tc>
          <w:tcPr>
            <w:tcW w:w="16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3460" w:type="dxa"/>
            <w:vAlign w:val="bottom"/>
            <w:gridSpan w:val="3"/>
          </w:tcPr>
          <w:p>
            <w:pPr>
              <w:ind w:left="80"/>
              <w:spacing w:after="0"/>
              <w:rPr>
                <w:sz w:val="20"/>
                <w:szCs w:val="20"/>
                <w:color w:val="auto"/>
              </w:rPr>
            </w:pPr>
            <w:r>
              <w:rPr>
                <w:rFonts w:ascii="Times New Roman" w:cs="Times New Roman" w:eastAsia="Times New Roman" w:hAnsi="Times New Roman"/>
                <w:sz w:val="14"/>
                <w:szCs w:val="14"/>
                <w:color w:val="auto"/>
              </w:rPr>
              <w:t>New York, N.Y. 10004</w:t>
            </w:r>
          </w:p>
        </w:tc>
      </w:tr>
    </w:tbl>
    <w:p>
      <w:pPr>
        <w:spacing w:after="0" w:line="80" w:lineRule="exact"/>
        <w:rPr>
          <w:sz w:val="20"/>
          <w:szCs w:val="20"/>
          <w:color w:val="auto"/>
        </w:rPr>
      </w:pPr>
    </w:p>
    <w:p>
      <w:pPr>
        <w:ind w:left="920" w:hanging="416"/>
        <w:spacing w:after="0"/>
        <w:tabs>
          <w:tab w:leader="none" w:pos="920" w:val="left"/>
        </w:tabs>
        <w:numPr>
          <w:ilvl w:val="0"/>
          <w:numId w:val="118"/>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Whether it is authorized to exercise corporate trust powers.</w:t>
      </w:r>
    </w:p>
    <w:p>
      <w:pPr>
        <w:spacing w:after="0" w:line="9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Yes.</w:t>
      </w:r>
    </w:p>
    <w:p>
      <w:pPr>
        <w:spacing w:after="0" w:line="295" w:lineRule="exact"/>
        <w:rPr>
          <w:sz w:val="20"/>
          <w:szCs w:val="20"/>
          <w:color w:val="auto"/>
        </w:rPr>
      </w:pPr>
    </w:p>
    <w:p>
      <w:pPr>
        <w:ind w:left="500" w:hanging="337"/>
        <w:spacing w:after="0"/>
        <w:tabs>
          <w:tab w:leader="none" w:pos="500" w:val="left"/>
        </w:tabs>
        <w:numPr>
          <w:ilvl w:val="0"/>
          <w:numId w:val="119"/>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Affiliations with Obligor.</w:t>
      </w:r>
    </w:p>
    <w:p>
      <w:pPr>
        <w:spacing w:after="0" w:line="94" w:lineRule="exact"/>
        <w:rPr>
          <w:rFonts w:ascii="Times New Roman" w:cs="Times New Roman" w:eastAsia="Times New Roman" w:hAnsi="Times New Roman"/>
          <w:sz w:val="14"/>
          <w:szCs w:val="14"/>
          <w:b w:val="1"/>
          <w:bCs w:val="1"/>
          <w:color w:val="auto"/>
        </w:rPr>
      </w:pPr>
    </w:p>
    <w:p>
      <w:pPr>
        <w:ind w:left="520" w:right="4199"/>
        <w:spacing w:after="0" w:line="418" w:lineRule="auto"/>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 xml:space="preserve">If the obligor is an affiliate of the trustee, describe each such affiliation. </w:t>
      </w:r>
      <w:r>
        <w:rPr>
          <w:rFonts w:ascii="Times New Roman" w:cs="Times New Roman" w:eastAsia="Times New Roman" w:hAnsi="Times New Roman"/>
          <w:sz w:val="14"/>
          <w:szCs w:val="14"/>
          <w:color w:val="auto"/>
        </w:rPr>
        <w:t>None.</w:t>
      </w:r>
    </w:p>
    <w:p>
      <w:pPr>
        <w:spacing w:after="0" w:line="152" w:lineRule="exact"/>
        <w:rPr>
          <w:sz w:val="20"/>
          <w:szCs w:val="20"/>
          <w:color w:val="auto"/>
        </w:rPr>
      </w:pPr>
    </w:p>
    <w:p>
      <w:pPr>
        <w:ind w:left="500" w:hanging="337"/>
        <w:spacing w:after="0"/>
        <w:tabs>
          <w:tab w:leader="none" w:pos="500" w:val="left"/>
        </w:tabs>
        <w:numPr>
          <w:ilvl w:val="0"/>
          <w:numId w:val="120"/>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List of Exhibits.</w:t>
      </w:r>
    </w:p>
    <w:p>
      <w:pPr>
        <w:spacing w:after="0" w:line="94" w:lineRule="exact"/>
        <w:rPr>
          <w:rFonts w:ascii="Times New Roman" w:cs="Times New Roman" w:eastAsia="Times New Roman" w:hAnsi="Times New Roman"/>
          <w:sz w:val="14"/>
          <w:szCs w:val="14"/>
          <w:b w:val="1"/>
          <w:bCs w:val="1"/>
          <w:color w:val="auto"/>
        </w:rPr>
      </w:pPr>
    </w:p>
    <w:p>
      <w:pPr>
        <w:ind w:left="520" w:right="219"/>
        <w:spacing w:after="0" w:line="291" w:lineRule="auto"/>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Exhibits identified in parentheses below, on file with the Commission, are incorporated herein by reference as an exhibit hereto, pursuant to Rule 7a-29 under the Trust Indenture Act of 1939 (the “Act”).</w:t>
      </w:r>
    </w:p>
    <w:p>
      <w:pPr>
        <w:spacing w:after="0" w:line="47" w:lineRule="exact"/>
        <w:rPr>
          <w:rFonts w:ascii="Times New Roman" w:cs="Times New Roman" w:eastAsia="Times New Roman" w:hAnsi="Times New Roman"/>
          <w:sz w:val="14"/>
          <w:szCs w:val="14"/>
          <w:b w:val="1"/>
          <w:bCs w:val="1"/>
          <w:color w:val="auto"/>
        </w:rPr>
      </w:pPr>
    </w:p>
    <w:p>
      <w:pPr>
        <w:ind w:left="920" w:right="259" w:hanging="416"/>
        <w:spacing w:after="0" w:line="262" w:lineRule="auto"/>
        <w:tabs>
          <w:tab w:leader="none" w:pos="920" w:val="left"/>
        </w:tabs>
        <w:numPr>
          <w:ilvl w:val="1"/>
          <w:numId w:val="1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copy of the Organization Certificate of The Bank of New York Mellon (formerly known as The Bank of New York, itself formerly Irving Trust Company) as now in effect, which contains the authority to commence business and a grant of powers to exercise corporate trust powers. (Exhibit 1 to Amendment No. 1 to Form T-1 filed with Registration Statement No. 33-6215, Exhibits 1a and 1b to Form T-1 filed with Registration Statement No. 33-21672, Exhibit 1 to Form T-1 filed with Registration Statement No. 33-29637, Exhibit 1 to Form T-1 filed with Registration Statement No. 333-121195 and Exhibit 1 to Form T-1 filed with Registration Statement No. 333-152735).</w:t>
      </w:r>
    </w:p>
    <w:p>
      <w:pPr>
        <w:spacing w:after="0" w:line="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w:t>
      </w:r>
    </w:p>
    <w:p>
      <w:pPr>
        <w:sectPr>
          <w:pgSz w:w="11900" w:h="16838" w:orient="portrait"/>
          <w:cols w:equalWidth="0" w:num="1">
            <w:col w:w="9019"/>
          </w:cols>
          <w:pgMar w:left="1440" w:top="240" w:right="1440" w:bottom="1440" w:gutter="0" w:footer="0" w:header="0"/>
        </w:sectPr>
      </w:pPr>
    </w:p>
    <w:bookmarkStart w:id="126" w:name="page127"/>
    <w:bookmarkEnd w:id="126"/>
    <w:p>
      <w:pPr>
        <w:ind w:left="920" w:hanging="416"/>
        <w:spacing w:after="0"/>
        <w:tabs>
          <w:tab w:leader="none" w:pos="920" w:val="left"/>
        </w:tabs>
        <w:numPr>
          <w:ilvl w:val="0"/>
          <w:numId w:val="1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9">
                      <a:extLst>
                        <a:ext uri="{28A0092B-C50C-407E-A947-70E740481C1C}"/>
                      </a:extLst>
                    </a:blip>
                    <a:srcRect/>
                    <a:stretch>
                      <a:fillRect/>
                    </a:stretch>
                  </pic:blipFill>
                  <pic:spPr bwMode="auto">
                    <a:xfrm>
                      <a:off x="0" y="0"/>
                      <a:ext cx="7200265" cy="33020"/>
                    </a:xfrm>
                    <a:prstGeom prst="rect">
                      <a:avLst/>
                    </a:prstGeom>
                    <a:noFill/>
                  </pic:spPr>
                </pic:pic>
              </a:graphicData>
            </a:graphic>
          </wp:anchor>
        </w:drawing>
        <w:t>A copy of the existing By-laws of the Trustee (Exhibit 4 to Form T-1 filed with Registration Statement No. 333-261533).</w:t>
      </w:r>
    </w:p>
    <w:p>
      <w:pPr>
        <w:spacing w:after="0" w:line="105" w:lineRule="exact"/>
        <w:rPr>
          <w:sz w:val="20"/>
          <w:szCs w:val="20"/>
          <w:color w:val="auto"/>
        </w:rPr>
      </w:pPr>
    </w:p>
    <w:p>
      <w:pPr>
        <w:ind w:left="920" w:right="1179" w:hanging="416"/>
        <w:spacing w:after="0" w:line="288" w:lineRule="auto"/>
        <w:tabs>
          <w:tab w:leader="none" w:pos="920" w:val="left"/>
        </w:tabs>
        <w:numPr>
          <w:ilvl w:val="0"/>
          <w:numId w:val="1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consent of the Trustee required by Section 321(b) of the Act (Exhibit 6 to Form T-1 filed with Registration Statement No. 333-229519).</w:t>
      </w:r>
    </w:p>
    <w:p>
      <w:pPr>
        <w:spacing w:after="0" w:line="49" w:lineRule="exact"/>
        <w:rPr>
          <w:rFonts w:ascii="Times New Roman" w:cs="Times New Roman" w:eastAsia="Times New Roman" w:hAnsi="Times New Roman"/>
          <w:sz w:val="14"/>
          <w:szCs w:val="14"/>
          <w:color w:val="auto"/>
        </w:rPr>
      </w:pPr>
    </w:p>
    <w:p>
      <w:pPr>
        <w:ind w:left="920" w:right="479" w:hanging="416"/>
        <w:spacing w:after="0" w:line="288" w:lineRule="auto"/>
        <w:tabs>
          <w:tab w:leader="none" w:pos="920" w:val="left"/>
        </w:tabs>
        <w:numPr>
          <w:ilvl w:val="0"/>
          <w:numId w:val="1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copy of the latest report of condition of the Trustee published pursuant to law or to the requirements of its supervising or examining authority.</w:t>
      </w:r>
    </w:p>
    <w:p>
      <w:pPr>
        <w:spacing w:after="0" w:line="1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SIGNATURE</w:t>
      </w:r>
    </w:p>
    <w:p>
      <w:pPr>
        <w:spacing w:after="0" w:line="179" w:lineRule="exact"/>
        <w:rPr>
          <w:sz w:val="20"/>
          <w:szCs w:val="20"/>
          <w:color w:val="auto"/>
        </w:rPr>
      </w:pPr>
    </w:p>
    <w:p>
      <w:pPr>
        <w:ind w:left="160" w:right="179" w:firstLine="347"/>
        <w:spacing w:after="0" w:line="271" w:lineRule="auto"/>
        <w:rPr>
          <w:sz w:val="20"/>
          <w:szCs w:val="20"/>
          <w:color w:val="auto"/>
        </w:rPr>
      </w:pPr>
      <w:r>
        <w:rPr>
          <w:rFonts w:ascii="Times New Roman" w:cs="Times New Roman" w:eastAsia="Times New Roman" w:hAnsi="Times New Roman"/>
          <w:sz w:val="14"/>
          <w:szCs w:val="14"/>
          <w:color w:val="auto"/>
        </w:rPr>
        <w:t>Pursuant to the requirements of the Act, the trustee, The Bank of New York Mellon, a corporation organized and existing under the laws of the State of New York, has duly caused this statement of eligibility to be signed on its behalf by the undersigned, thereunto duly authorized, all in the City of New York, and State of New York, on the21st day of May, 2026.</w:t>
      </w:r>
    </w:p>
    <w:p>
      <w:pPr>
        <w:spacing w:after="0" w:line="157"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4"/>
          <w:szCs w:val="14"/>
          <w:color w:val="auto"/>
        </w:rPr>
        <w:t>THE BANK OF NEW YORK MELLON</w:t>
      </w:r>
    </w:p>
    <w:p>
      <w:pPr>
        <w:spacing w:after="0" w:line="179"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4"/>
          <w:szCs w:val="14"/>
          <w:color w:val="auto"/>
        </w:rPr>
        <w:t>By: /s/ Glenn G. McKeever</w:t>
      </w:r>
    </w:p>
    <w:p>
      <w:pPr>
        <w:spacing w:after="0" w:line="23"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4"/>
          <w:szCs w:val="14"/>
          <w:color w:val="auto"/>
        </w:rPr>
        <w:t>Name: Glenn G. McKeever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3569335</wp:posOffset>
            </wp:positionH>
            <wp:positionV relativeFrom="paragraph">
              <wp:posOffset>-100965</wp:posOffset>
            </wp:positionV>
            <wp:extent cx="2047240" cy="698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70">
                      <a:extLst>
                        <a:ext uri="{28A0092B-C50C-407E-A947-70E740481C1C}"/>
                      </a:extLst>
                    </a:blip>
                    <a:srcRect/>
                    <a:stretch>
                      <a:fillRect/>
                    </a:stretch>
                  </pic:blipFill>
                  <pic:spPr bwMode="auto">
                    <a:xfrm>
                      <a:off x="0" y="0"/>
                      <a:ext cx="2047240" cy="6985"/>
                    </a:xfrm>
                    <a:prstGeom prst="rect">
                      <a:avLst/>
                    </a:prstGeom>
                    <a:noFill/>
                  </pic:spPr>
                </pic:pic>
              </a:graphicData>
            </a:graphic>
          </wp:anchor>
        </w:drawing>
      </w:r>
    </w:p>
    <w:p>
      <w:pPr>
        <w:ind w:left="5660"/>
        <w:spacing w:after="0"/>
        <w:rPr>
          <w:sz w:val="20"/>
          <w:szCs w:val="20"/>
          <w:color w:val="auto"/>
        </w:rPr>
      </w:pPr>
      <w:r>
        <w:rPr>
          <w:rFonts w:ascii="Times New Roman" w:cs="Times New Roman" w:eastAsia="Times New Roman" w:hAnsi="Times New Roman"/>
          <w:sz w:val="14"/>
          <w:szCs w:val="14"/>
          <w:color w:val="auto"/>
        </w:rPr>
        <w:t>Title: Vice President</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w:t>
      </w:r>
    </w:p>
    <w:p>
      <w:pPr>
        <w:sectPr>
          <w:pgSz w:w="11900" w:h="16838" w:orient="portrait"/>
          <w:cols w:equalWidth="0" w:num="1">
            <w:col w:w="9019"/>
          </w:cols>
          <w:pgMar w:left="1440" w:top="242" w:right="1440" w:bottom="1440" w:gutter="0" w:footer="0" w:header="0"/>
        </w:sectPr>
      </w:pPr>
    </w:p>
    <w:bookmarkStart w:id="127" w:name="page128"/>
    <w:bookmarkEnd w:id="127"/>
    <w:p>
      <w:pPr>
        <w:jc w:val="right"/>
        <w:ind w:right="179"/>
        <w:spacing w:after="0"/>
        <w:rPr>
          <w:sz w:val="20"/>
          <w:szCs w:val="20"/>
          <w:color w:val="auto"/>
        </w:rPr>
      </w:pPr>
      <w:r>
        <w:rPr>
          <w:rFonts w:ascii="Times New Roman" w:cs="Times New Roman" w:eastAsia="Times New Roman" w:hAnsi="Times New Roman"/>
          <w:sz w:val="14"/>
          <w:szCs w:val="14"/>
          <w:b w:val="1"/>
          <w:bCs w:val="1"/>
          <w:u w:val="single" w:color="auto"/>
          <w:color w:val="auto"/>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71">
                      <a:extLst>
                        <a:ext uri="{28A0092B-C50C-407E-A947-70E740481C1C}"/>
                      </a:extLst>
                    </a:blip>
                    <a:srcRect/>
                    <a:stretch>
                      <a:fillRect/>
                    </a:stretch>
                  </pic:blipFill>
                  <pic:spPr bwMode="auto">
                    <a:xfrm>
                      <a:off x="0" y="0"/>
                      <a:ext cx="7200265" cy="33020"/>
                    </a:xfrm>
                    <a:prstGeom prst="rect">
                      <a:avLst/>
                    </a:prstGeom>
                    <a:noFill/>
                  </pic:spPr>
                </pic:pic>
              </a:graphicData>
            </a:graphic>
          </wp:anchor>
        </w:drawing>
        <w:t>EXHIBIT 7</w:t>
      </w:r>
    </w:p>
    <w:p>
      <w:pPr>
        <w:spacing w:after="0" w:line="1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Consolidated Report of Condition of</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THE BANK OF NEW YORK MELLON</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of 240 Greenwich Street, New York, N.Y. 10286</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And Foreign and Domestic Subsidiaries,</w:t>
      </w:r>
    </w:p>
    <w:p>
      <w:pPr>
        <w:spacing w:after="0" w:line="179" w:lineRule="exact"/>
        <w:rPr>
          <w:sz w:val="20"/>
          <w:szCs w:val="20"/>
          <w:color w:val="auto"/>
        </w:rPr>
      </w:pPr>
    </w:p>
    <w:p>
      <w:pPr>
        <w:ind w:left="160" w:right="459"/>
        <w:spacing w:after="0" w:line="288" w:lineRule="auto"/>
        <w:rPr>
          <w:sz w:val="20"/>
          <w:szCs w:val="20"/>
          <w:color w:val="auto"/>
        </w:rPr>
      </w:pPr>
      <w:r>
        <w:rPr>
          <w:rFonts w:ascii="Times New Roman" w:cs="Times New Roman" w:eastAsia="Times New Roman" w:hAnsi="Times New Roman"/>
          <w:sz w:val="14"/>
          <w:szCs w:val="14"/>
          <w:color w:val="auto"/>
        </w:rPr>
        <w:t>a member of the Federal Reserve System, at the close of business March 31, 2026, published in accordance with a call made by the Federal Reserve Bank of this District pursuant to the provisions of the Federal Reserve Act.</w:t>
      </w:r>
    </w:p>
    <w:p>
      <w:pPr>
        <w:spacing w:after="0" w:line="144" w:lineRule="exact"/>
        <w:rPr>
          <w:sz w:val="20"/>
          <w:szCs w:val="20"/>
          <w:color w:val="auto"/>
        </w:rPr>
      </w:pPr>
    </w:p>
    <w:tbl>
      <w:tblPr>
        <w:tblLayout w:type="fixed"/>
        <w:tblInd w:w="1560" w:type="dxa"/>
        <w:tblCellMar>
          <w:top w:w="0" w:type="dxa"/>
          <w:left w:w="0" w:type="dxa"/>
          <w:bottom w:w="0" w:type="dxa"/>
          <w:right w:w="0" w:type="dxa"/>
        </w:tblCellMar>
      </w:tblPr>
      <w:tr>
        <w:trPr>
          <w:trHeight w:val="186"/>
        </w:trPr>
        <w:tc>
          <w:tcPr>
            <w:tcW w:w="41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178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Dollar amounts in thousands</w:t>
            </w:r>
          </w:p>
        </w:tc>
      </w:tr>
      <w:tr>
        <w:trPr>
          <w:trHeight w:val="171"/>
        </w:trPr>
        <w:tc>
          <w:tcPr>
            <w:tcW w:w="20" w:type="dxa"/>
            <w:vAlign w:val="bottom"/>
          </w:tcPr>
          <w:p>
            <w:pPr>
              <w:spacing w:after="0"/>
              <w:rPr>
                <w:sz w:val="14"/>
                <w:szCs w:val="14"/>
                <w:color w:val="auto"/>
              </w:rPr>
            </w:pPr>
          </w:p>
        </w:tc>
        <w:tc>
          <w:tcPr>
            <w:tcW w:w="41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Cash and balances due from depository institutions:</w:t>
            </w:r>
          </w:p>
        </w:tc>
        <w:tc>
          <w:tcPr>
            <w:tcW w:w="17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r>
      <w:tr>
        <w:trPr>
          <w:trHeight w:val="170"/>
        </w:trPr>
        <w:tc>
          <w:tcPr>
            <w:tcW w:w="20" w:type="dxa"/>
            <w:vAlign w:val="bottom"/>
          </w:tcPr>
          <w:p>
            <w:pPr>
              <w:spacing w:after="0"/>
              <w:rPr>
                <w:sz w:val="14"/>
                <w:szCs w:val="14"/>
                <w:color w:val="auto"/>
              </w:rPr>
            </w:pPr>
          </w:p>
        </w:tc>
        <w:tc>
          <w:tcPr>
            <w:tcW w:w="410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Noninterest-bearing balances and currency and coin</w:t>
            </w:r>
          </w:p>
        </w:tc>
        <w:tc>
          <w:tcPr>
            <w:tcW w:w="17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5,151,000</w:t>
            </w:r>
          </w:p>
        </w:tc>
      </w:tr>
      <w:tr>
        <w:trPr>
          <w:trHeight w:val="170"/>
        </w:trPr>
        <w:tc>
          <w:tcPr>
            <w:tcW w:w="20" w:type="dxa"/>
            <w:vAlign w:val="bottom"/>
          </w:tcPr>
          <w:p>
            <w:pPr>
              <w:spacing w:after="0"/>
              <w:rPr>
                <w:sz w:val="14"/>
                <w:szCs w:val="14"/>
                <w:color w:val="auto"/>
              </w:rPr>
            </w:pPr>
          </w:p>
        </w:tc>
        <w:tc>
          <w:tcPr>
            <w:tcW w:w="41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Interest-bearing balances</w:t>
            </w:r>
          </w:p>
        </w:tc>
        <w:tc>
          <w:tcPr>
            <w:tcW w:w="1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179,331,000</w:t>
            </w:r>
          </w:p>
        </w:tc>
      </w:tr>
      <w:tr>
        <w:trPr>
          <w:trHeight w:val="170"/>
        </w:trPr>
        <w:tc>
          <w:tcPr>
            <w:tcW w:w="20" w:type="dxa"/>
            <w:vAlign w:val="bottom"/>
          </w:tcPr>
          <w:p>
            <w:pPr>
              <w:spacing w:after="0"/>
              <w:rPr>
                <w:sz w:val="14"/>
                <w:szCs w:val="14"/>
                <w:color w:val="auto"/>
              </w:rPr>
            </w:pPr>
          </w:p>
        </w:tc>
        <w:tc>
          <w:tcPr>
            <w:tcW w:w="4100" w:type="dxa"/>
            <w:vAlign w:val="bottom"/>
          </w:tcPr>
          <w:p>
            <w:pPr>
              <w:spacing w:after="0"/>
              <w:rPr>
                <w:sz w:val="20"/>
                <w:szCs w:val="20"/>
                <w:color w:val="auto"/>
              </w:rPr>
            </w:pPr>
            <w:r>
              <w:rPr>
                <w:rFonts w:ascii="Times New Roman" w:cs="Times New Roman" w:eastAsia="Times New Roman" w:hAnsi="Times New Roman"/>
                <w:sz w:val="14"/>
                <w:szCs w:val="14"/>
                <w:color w:val="auto"/>
              </w:rPr>
              <w:t>Securities:</w:t>
            </w:r>
          </w:p>
        </w:tc>
        <w:tc>
          <w:tcPr>
            <w:tcW w:w="172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70"/>
        </w:trPr>
        <w:tc>
          <w:tcPr>
            <w:tcW w:w="20" w:type="dxa"/>
            <w:vAlign w:val="bottom"/>
          </w:tcPr>
          <w:p>
            <w:pPr>
              <w:spacing w:after="0"/>
              <w:rPr>
                <w:sz w:val="14"/>
                <w:szCs w:val="14"/>
                <w:color w:val="auto"/>
              </w:rPr>
            </w:pPr>
          </w:p>
        </w:tc>
        <w:tc>
          <w:tcPr>
            <w:tcW w:w="41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Held-to-maturity securities</w:t>
            </w:r>
          </w:p>
        </w:tc>
        <w:tc>
          <w:tcPr>
            <w:tcW w:w="1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48,830,000</w:t>
            </w:r>
          </w:p>
        </w:tc>
      </w:tr>
      <w:tr>
        <w:trPr>
          <w:trHeight w:val="170"/>
        </w:trPr>
        <w:tc>
          <w:tcPr>
            <w:tcW w:w="20" w:type="dxa"/>
            <w:vAlign w:val="bottom"/>
          </w:tcPr>
          <w:p>
            <w:pPr>
              <w:spacing w:after="0"/>
              <w:rPr>
                <w:sz w:val="14"/>
                <w:szCs w:val="14"/>
                <w:color w:val="auto"/>
              </w:rPr>
            </w:pPr>
          </w:p>
        </w:tc>
        <w:tc>
          <w:tcPr>
            <w:tcW w:w="410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Available-for-sale debt securities</w:t>
            </w:r>
          </w:p>
        </w:tc>
        <w:tc>
          <w:tcPr>
            <w:tcW w:w="17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106,552,000</w:t>
            </w:r>
          </w:p>
        </w:tc>
      </w:tr>
      <w:tr>
        <w:trPr>
          <w:trHeight w:val="156"/>
        </w:trPr>
        <w:tc>
          <w:tcPr>
            <w:tcW w:w="20" w:type="dxa"/>
            <w:vAlign w:val="bottom"/>
          </w:tcPr>
          <w:p>
            <w:pPr>
              <w:spacing w:after="0"/>
              <w:rPr>
                <w:sz w:val="13"/>
                <w:szCs w:val="13"/>
                <w:color w:val="auto"/>
              </w:rPr>
            </w:pPr>
          </w:p>
        </w:tc>
        <w:tc>
          <w:tcPr>
            <w:tcW w:w="4100" w:type="dxa"/>
            <w:vAlign w:val="bottom"/>
            <w:shd w:val="clear" w:color="auto" w:fill="CCEEFF"/>
          </w:tcPr>
          <w:p>
            <w:pPr>
              <w:ind w:left="260"/>
              <w:spacing w:after="0" w:line="155" w:lineRule="exact"/>
              <w:rPr>
                <w:sz w:val="20"/>
                <w:szCs w:val="20"/>
                <w:color w:val="auto"/>
              </w:rPr>
            </w:pPr>
            <w:r>
              <w:rPr>
                <w:rFonts w:ascii="Times New Roman" w:cs="Times New Roman" w:eastAsia="Times New Roman" w:hAnsi="Times New Roman"/>
                <w:sz w:val="14"/>
                <w:szCs w:val="14"/>
                <w:color w:val="auto"/>
              </w:rPr>
              <w:t>Equity securities with readily determinable fair values not held</w:t>
            </w:r>
          </w:p>
        </w:tc>
        <w:tc>
          <w:tcPr>
            <w:tcW w:w="17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r>
      <w:tr>
        <w:trPr>
          <w:trHeight w:val="185"/>
        </w:trPr>
        <w:tc>
          <w:tcPr>
            <w:tcW w:w="20" w:type="dxa"/>
            <w:vAlign w:val="bottom"/>
          </w:tcPr>
          <w:p>
            <w:pPr>
              <w:spacing w:after="0"/>
              <w:rPr>
                <w:sz w:val="16"/>
                <w:szCs w:val="16"/>
                <w:color w:val="auto"/>
              </w:rPr>
            </w:pPr>
          </w:p>
        </w:tc>
        <w:tc>
          <w:tcPr>
            <w:tcW w:w="410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for trading</w:t>
            </w:r>
          </w:p>
        </w:tc>
        <w:tc>
          <w:tcPr>
            <w:tcW w:w="1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0</w:t>
            </w:r>
          </w:p>
        </w:tc>
      </w:tr>
      <w:tr>
        <w:trPr>
          <w:trHeight w:val="156"/>
        </w:trPr>
        <w:tc>
          <w:tcPr>
            <w:tcW w:w="20" w:type="dxa"/>
            <w:vAlign w:val="bottom"/>
          </w:tcPr>
          <w:p>
            <w:pPr>
              <w:spacing w:after="0"/>
              <w:rPr>
                <w:sz w:val="13"/>
                <w:szCs w:val="13"/>
                <w:color w:val="auto"/>
              </w:rPr>
            </w:pPr>
          </w:p>
        </w:tc>
        <w:tc>
          <w:tcPr>
            <w:tcW w:w="4100" w:type="dxa"/>
            <w:vAlign w:val="bottom"/>
          </w:tcPr>
          <w:p>
            <w:pPr>
              <w:spacing w:after="0" w:line="155" w:lineRule="exact"/>
              <w:rPr>
                <w:sz w:val="20"/>
                <w:szCs w:val="20"/>
                <w:color w:val="auto"/>
              </w:rPr>
            </w:pPr>
            <w:r>
              <w:rPr>
                <w:rFonts w:ascii="Times New Roman" w:cs="Times New Roman" w:eastAsia="Times New Roman" w:hAnsi="Times New Roman"/>
                <w:sz w:val="14"/>
                <w:szCs w:val="14"/>
                <w:color w:val="auto"/>
              </w:rPr>
              <w:t>Federal funds sold and securities purchased under agreements to</w:t>
            </w:r>
          </w:p>
        </w:tc>
        <w:tc>
          <w:tcPr>
            <w:tcW w:w="172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185"/>
        </w:trPr>
        <w:tc>
          <w:tcPr>
            <w:tcW w:w="20" w:type="dxa"/>
            <w:vAlign w:val="bottom"/>
          </w:tcPr>
          <w:p>
            <w:pPr>
              <w:spacing w:after="0"/>
              <w:rPr>
                <w:sz w:val="16"/>
                <w:szCs w:val="16"/>
                <w:color w:val="auto"/>
              </w:rPr>
            </w:pPr>
          </w:p>
        </w:tc>
        <w:tc>
          <w:tcPr>
            <w:tcW w:w="41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resell:</w:t>
            </w:r>
          </w:p>
        </w:tc>
        <w:tc>
          <w:tcPr>
            <w:tcW w:w="172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171"/>
        </w:trPr>
        <w:tc>
          <w:tcPr>
            <w:tcW w:w="20" w:type="dxa"/>
            <w:vAlign w:val="bottom"/>
          </w:tcPr>
          <w:p>
            <w:pPr>
              <w:spacing w:after="0"/>
              <w:rPr>
                <w:sz w:val="14"/>
                <w:szCs w:val="14"/>
                <w:color w:val="auto"/>
              </w:rPr>
            </w:pPr>
          </w:p>
        </w:tc>
        <w:tc>
          <w:tcPr>
            <w:tcW w:w="41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Federal funds sold in domestic offices</w:t>
            </w:r>
          </w:p>
        </w:tc>
        <w:tc>
          <w:tcPr>
            <w:tcW w:w="1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0</w:t>
            </w:r>
          </w:p>
        </w:tc>
      </w:tr>
      <w:tr>
        <w:trPr>
          <w:trHeight w:val="170"/>
        </w:trPr>
        <w:tc>
          <w:tcPr>
            <w:tcW w:w="20" w:type="dxa"/>
            <w:vAlign w:val="bottom"/>
          </w:tcPr>
          <w:p>
            <w:pPr>
              <w:spacing w:after="0"/>
              <w:rPr>
                <w:sz w:val="14"/>
                <w:szCs w:val="14"/>
                <w:color w:val="auto"/>
              </w:rPr>
            </w:pPr>
          </w:p>
        </w:tc>
        <w:tc>
          <w:tcPr>
            <w:tcW w:w="410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Securities purchased under agreements to resell</w:t>
            </w:r>
          </w:p>
        </w:tc>
        <w:tc>
          <w:tcPr>
            <w:tcW w:w="17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24,813,000</w:t>
            </w:r>
          </w:p>
        </w:tc>
      </w:tr>
      <w:tr>
        <w:trPr>
          <w:trHeight w:val="170"/>
        </w:trPr>
        <w:tc>
          <w:tcPr>
            <w:tcW w:w="20" w:type="dxa"/>
            <w:vAlign w:val="bottom"/>
          </w:tcPr>
          <w:p>
            <w:pPr>
              <w:spacing w:after="0"/>
              <w:rPr>
                <w:sz w:val="14"/>
                <w:szCs w:val="14"/>
                <w:color w:val="auto"/>
              </w:rPr>
            </w:pPr>
          </w:p>
        </w:tc>
        <w:tc>
          <w:tcPr>
            <w:tcW w:w="41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Loans and lease financing receivables:</w:t>
            </w:r>
          </w:p>
        </w:tc>
        <w:tc>
          <w:tcPr>
            <w:tcW w:w="17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r>
      <w:tr>
        <w:trPr>
          <w:trHeight w:val="170"/>
        </w:trPr>
        <w:tc>
          <w:tcPr>
            <w:tcW w:w="20" w:type="dxa"/>
            <w:vAlign w:val="bottom"/>
          </w:tcPr>
          <w:p>
            <w:pPr>
              <w:spacing w:after="0"/>
              <w:rPr>
                <w:sz w:val="14"/>
                <w:szCs w:val="14"/>
                <w:color w:val="auto"/>
              </w:rPr>
            </w:pPr>
          </w:p>
        </w:tc>
        <w:tc>
          <w:tcPr>
            <w:tcW w:w="410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Loans and leases held for sale</w:t>
            </w:r>
          </w:p>
        </w:tc>
        <w:tc>
          <w:tcPr>
            <w:tcW w:w="17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0</w:t>
            </w:r>
          </w:p>
        </w:tc>
      </w:tr>
      <w:tr>
        <w:trPr>
          <w:trHeight w:val="170"/>
        </w:trPr>
        <w:tc>
          <w:tcPr>
            <w:tcW w:w="20" w:type="dxa"/>
            <w:vAlign w:val="bottom"/>
          </w:tcPr>
          <w:p>
            <w:pPr>
              <w:spacing w:after="0"/>
              <w:rPr>
                <w:sz w:val="14"/>
                <w:szCs w:val="14"/>
                <w:color w:val="auto"/>
              </w:rPr>
            </w:pPr>
          </w:p>
        </w:tc>
        <w:tc>
          <w:tcPr>
            <w:tcW w:w="41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Loans and leases held for investment</w:t>
            </w:r>
          </w:p>
        </w:tc>
        <w:tc>
          <w:tcPr>
            <w:tcW w:w="1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60,448,000</w:t>
            </w:r>
          </w:p>
        </w:tc>
      </w:tr>
      <w:tr>
        <w:trPr>
          <w:trHeight w:val="170"/>
        </w:trPr>
        <w:tc>
          <w:tcPr>
            <w:tcW w:w="20" w:type="dxa"/>
            <w:vAlign w:val="bottom"/>
          </w:tcPr>
          <w:p>
            <w:pPr>
              <w:spacing w:after="0"/>
              <w:rPr>
                <w:sz w:val="14"/>
                <w:szCs w:val="14"/>
                <w:color w:val="auto"/>
              </w:rPr>
            </w:pPr>
          </w:p>
        </w:tc>
        <w:tc>
          <w:tcPr>
            <w:tcW w:w="410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LESS: Allowance for credit losses on loans and leases</w:t>
            </w:r>
          </w:p>
        </w:tc>
        <w:tc>
          <w:tcPr>
            <w:tcW w:w="17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211,000</w:t>
            </w:r>
          </w:p>
        </w:tc>
      </w:tr>
      <w:tr>
        <w:trPr>
          <w:trHeight w:val="170"/>
        </w:trPr>
        <w:tc>
          <w:tcPr>
            <w:tcW w:w="20" w:type="dxa"/>
            <w:vAlign w:val="bottom"/>
          </w:tcPr>
          <w:p>
            <w:pPr>
              <w:spacing w:after="0"/>
              <w:rPr>
                <w:sz w:val="14"/>
                <w:szCs w:val="14"/>
                <w:color w:val="auto"/>
              </w:rPr>
            </w:pPr>
          </w:p>
        </w:tc>
        <w:tc>
          <w:tcPr>
            <w:tcW w:w="41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Loans and leases held for investment, net of allowance</w:t>
            </w:r>
          </w:p>
        </w:tc>
        <w:tc>
          <w:tcPr>
            <w:tcW w:w="1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60,237,000</w:t>
            </w:r>
          </w:p>
        </w:tc>
      </w:tr>
      <w:tr>
        <w:trPr>
          <w:trHeight w:val="170"/>
        </w:trPr>
        <w:tc>
          <w:tcPr>
            <w:tcW w:w="20" w:type="dxa"/>
            <w:vAlign w:val="bottom"/>
          </w:tcPr>
          <w:p>
            <w:pPr>
              <w:spacing w:after="0"/>
              <w:rPr>
                <w:sz w:val="14"/>
                <w:szCs w:val="14"/>
                <w:color w:val="auto"/>
              </w:rPr>
            </w:pPr>
          </w:p>
        </w:tc>
        <w:tc>
          <w:tcPr>
            <w:tcW w:w="4100" w:type="dxa"/>
            <w:vAlign w:val="bottom"/>
          </w:tcPr>
          <w:p>
            <w:pPr>
              <w:spacing w:after="0"/>
              <w:rPr>
                <w:sz w:val="20"/>
                <w:szCs w:val="20"/>
                <w:color w:val="auto"/>
              </w:rPr>
            </w:pPr>
            <w:r>
              <w:rPr>
                <w:rFonts w:ascii="Times New Roman" w:cs="Times New Roman" w:eastAsia="Times New Roman" w:hAnsi="Times New Roman"/>
                <w:sz w:val="14"/>
                <w:szCs w:val="14"/>
                <w:color w:val="auto"/>
              </w:rPr>
              <w:t>Trading assets</w:t>
            </w:r>
          </w:p>
        </w:tc>
        <w:tc>
          <w:tcPr>
            <w:tcW w:w="17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8,224,000</w:t>
            </w:r>
          </w:p>
        </w:tc>
      </w:tr>
      <w:tr>
        <w:trPr>
          <w:trHeight w:val="170"/>
        </w:trPr>
        <w:tc>
          <w:tcPr>
            <w:tcW w:w="20" w:type="dxa"/>
            <w:vAlign w:val="bottom"/>
          </w:tcPr>
          <w:p>
            <w:pPr>
              <w:spacing w:after="0"/>
              <w:rPr>
                <w:sz w:val="14"/>
                <w:szCs w:val="14"/>
                <w:color w:val="auto"/>
              </w:rPr>
            </w:pPr>
          </w:p>
        </w:tc>
        <w:tc>
          <w:tcPr>
            <w:tcW w:w="41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Premises and fixed assets (including right-of-use assets)</w:t>
            </w:r>
          </w:p>
        </w:tc>
        <w:tc>
          <w:tcPr>
            <w:tcW w:w="1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3,478,000</w:t>
            </w:r>
          </w:p>
        </w:tc>
      </w:tr>
      <w:tr>
        <w:trPr>
          <w:trHeight w:val="170"/>
        </w:trPr>
        <w:tc>
          <w:tcPr>
            <w:tcW w:w="20" w:type="dxa"/>
            <w:vAlign w:val="bottom"/>
          </w:tcPr>
          <w:p>
            <w:pPr>
              <w:spacing w:after="0"/>
              <w:rPr>
                <w:sz w:val="14"/>
                <w:szCs w:val="14"/>
                <w:color w:val="auto"/>
              </w:rPr>
            </w:pPr>
          </w:p>
        </w:tc>
        <w:tc>
          <w:tcPr>
            <w:tcW w:w="4100" w:type="dxa"/>
            <w:vAlign w:val="bottom"/>
          </w:tcPr>
          <w:p>
            <w:pPr>
              <w:spacing w:after="0"/>
              <w:rPr>
                <w:sz w:val="20"/>
                <w:szCs w:val="20"/>
                <w:color w:val="auto"/>
              </w:rPr>
            </w:pPr>
            <w:r>
              <w:rPr>
                <w:rFonts w:ascii="Times New Roman" w:cs="Times New Roman" w:eastAsia="Times New Roman" w:hAnsi="Times New Roman"/>
                <w:sz w:val="14"/>
                <w:szCs w:val="14"/>
                <w:color w:val="auto"/>
              </w:rPr>
              <w:t>Other real estate owned</w:t>
            </w:r>
          </w:p>
        </w:tc>
        <w:tc>
          <w:tcPr>
            <w:tcW w:w="17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0</w:t>
            </w:r>
          </w:p>
        </w:tc>
      </w:tr>
      <w:tr>
        <w:trPr>
          <w:trHeight w:val="170"/>
        </w:trPr>
        <w:tc>
          <w:tcPr>
            <w:tcW w:w="20" w:type="dxa"/>
            <w:vAlign w:val="bottom"/>
          </w:tcPr>
          <w:p>
            <w:pPr>
              <w:spacing w:after="0"/>
              <w:rPr>
                <w:sz w:val="14"/>
                <w:szCs w:val="14"/>
                <w:color w:val="auto"/>
              </w:rPr>
            </w:pPr>
          </w:p>
        </w:tc>
        <w:tc>
          <w:tcPr>
            <w:tcW w:w="41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Investments in unconsolidated subsidiaries and associated companies</w:t>
            </w:r>
          </w:p>
        </w:tc>
        <w:tc>
          <w:tcPr>
            <w:tcW w:w="1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2,481,000</w:t>
            </w:r>
          </w:p>
        </w:tc>
      </w:tr>
      <w:tr>
        <w:trPr>
          <w:trHeight w:val="170"/>
        </w:trPr>
        <w:tc>
          <w:tcPr>
            <w:tcW w:w="20" w:type="dxa"/>
            <w:vAlign w:val="bottom"/>
          </w:tcPr>
          <w:p>
            <w:pPr>
              <w:spacing w:after="0"/>
              <w:rPr>
                <w:sz w:val="14"/>
                <w:szCs w:val="14"/>
                <w:color w:val="auto"/>
              </w:rPr>
            </w:pPr>
          </w:p>
        </w:tc>
        <w:tc>
          <w:tcPr>
            <w:tcW w:w="4100" w:type="dxa"/>
            <w:vAlign w:val="bottom"/>
          </w:tcPr>
          <w:p>
            <w:pPr>
              <w:spacing w:after="0"/>
              <w:rPr>
                <w:sz w:val="20"/>
                <w:szCs w:val="20"/>
                <w:color w:val="auto"/>
              </w:rPr>
            </w:pPr>
            <w:r>
              <w:rPr>
                <w:rFonts w:ascii="Times New Roman" w:cs="Times New Roman" w:eastAsia="Times New Roman" w:hAnsi="Times New Roman"/>
                <w:sz w:val="14"/>
                <w:szCs w:val="14"/>
                <w:color w:val="auto"/>
              </w:rPr>
              <w:t>Direct and indirect investments in real estate ventures</w:t>
            </w:r>
          </w:p>
        </w:tc>
        <w:tc>
          <w:tcPr>
            <w:tcW w:w="17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0</w:t>
            </w:r>
          </w:p>
        </w:tc>
      </w:tr>
      <w:tr>
        <w:trPr>
          <w:trHeight w:val="170"/>
        </w:trPr>
        <w:tc>
          <w:tcPr>
            <w:tcW w:w="20" w:type="dxa"/>
            <w:vAlign w:val="bottom"/>
          </w:tcPr>
          <w:p>
            <w:pPr>
              <w:spacing w:after="0"/>
              <w:rPr>
                <w:sz w:val="14"/>
                <w:szCs w:val="14"/>
                <w:color w:val="auto"/>
              </w:rPr>
            </w:pPr>
          </w:p>
        </w:tc>
        <w:tc>
          <w:tcPr>
            <w:tcW w:w="41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Intangible assets</w:t>
            </w:r>
          </w:p>
        </w:tc>
        <w:tc>
          <w:tcPr>
            <w:tcW w:w="1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7,343,000</w:t>
            </w:r>
          </w:p>
        </w:tc>
      </w:tr>
      <w:tr>
        <w:trPr>
          <w:trHeight w:val="172"/>
        </w:trPr>
        <w:tc>
          <w:tcPr>
            <w:tcW w:w="20" w:type="dxa"/>
            <w:vAlign w:val="bottom"/>
          </w:tcPr>
          <w:p>
            <w:pPr>
              <w:spacing w:after="0"/>
              <w:rPr>
                <w:sz w:val="14"/>
                <w:szCs w:val="14"/>
                <w:color w:val="auto"/>
              </w:rPr>
            </w:pPr>
          </w:p>
        </w:tc>
        <w:tc>
          <w:tcPr>
            <w:tcW w:w="4100" w:type="dxa"/>
            <w:vAlign w:val="bottom"/>
          </w:tcPr>
          <w:p>
            <w:pPr>
              <w:spacing w:after="0"/>
              <w:rPr>
                <w:sz w:val="20"/>
                <w:szCs w:val="20"/>
                <w:color w:val="auto"/>
              </w:rPr>
            </w:pPr>
            <w:r>
              <w:rPr>
                <w:rFonts w:ascii="Times New Roman" w:cs="Times New Roman" w:eastAsia="Times New Roman" w:hAnsi="Times New Roman"/>
                <w:sz w:val="14"/>
                <w:szCs w:val="14"/>
                <w:color w:val="auto"/>
              </w:rPr>
              <w:t>Other assets</w:t>
            </w: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20,909,000</w:t>
            </w:r>
          </w:p>
        </w:tc>
        <w:tc>
          <w:tcPr>
            <w:tcW w:w="60" w:type="dxa"/>
            <w:vAlign w:val="bottom"/>
          </w:tcPr>
          <w:p>
            <w:pPr>
              <w:spacing w:after="0"/>
              <w:rPr>
                <w:sz w:val="14"/>
                <w:szCs w:val="14"/>
                <w:color w:val="auto"/>
              </w:rPr>
            </w:pPr>
          </w:p>
        </w:tc>
      </w:tr>
      <w:tr>
        <w:trPr>
          <w:trHeight w:val="170"/>
        </w:trPr>
        <w:tc>
          <w:tcPr>
            <w:tcW w:w="20" w:type="dxa"/>
            <w:vAlign w:val="bottom"/>
          </w:tcPr>
          <w:p>
            <w:pPr>
              <w:spacing w:after="0"/>
              <w:rPr>
                <w:sz w:val="14"/>
                <w:szCs w:val="14"/>
                <w:color w:val="auto"/>
              </w:rPr>
            </w:pPr>
          </w:p>
        </w:tc>
        <w:tc>
          <w:tcPr>
            <w:tcW w:w="41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assets</w:t>
            </w:r>
          </w:p>
        </w:tc>
        <w:tc>
          <w:tcPr>
            <w:tcW w:w="1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467,349,000</w:t>
            </w:r>
          </w:p>
        </w:tc>
      </w:tr>
      <w:tr>
        <w:trPr>
          <w:trHeight w:val="20"/>
        </w:trPr>
        <w:tc>
          <w:tcPr>
            <w:tcW w:w="2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ectPr>
          <w:pgSz w:w="11900" w:h="16838" w:orient="portrait"/>
          <w:cols w:equalWidth="0" w:num="1">
            <w:col w:w="9019"/>
          </w:cols>
          <w:pgMar w:left="1440" w:top="240" w:right="1440" w:bottom="1440" w:gutter="0" w:footer="0" w:header="0"/>
        </w:sectPr>
      </w:pPr>
    </w:p>
    <w:bookmarkStart w:id="128" w:name="page129"/>
    <w:bookmarkEnd w:id="128"/>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2">
                      <a:extLst>
                        <a:ext uri="{28A0092B-C50C-407E-A947-70E740481C1C}"/>
                      </a:extLst>
                    </a:blip>
                    <a:srcRect/>
                    <a:stretch>
                      <a:fillRect/>
                    </a:stretch>
                  </pic:blipFill>
                  <pic:spPr bwMode="auto">
                    <a:xfrm>
                      <a:off x="0" y="0"/>
                      <a:ext cx="7200265" cy="33020"/>
                    </a:xfrm>
                    <a:prstGeom prst="rect">
                      <a:avLst/>
                    </a:prstGeom>
                    <a:noFill/>
                  </pic:spPr>
                </pic:pic>
              </a:graphicData>
            </a:graphic>
          </wp:anchor>
        </w:drawing>
      </w:r>
    </w:p>
    <w:tbl>
      <w:tblPr>
        <w:tblLayout w:type="fixed"/>
        <w:tblInd w:w="1560" w:type="dxa"/>
        <w:tblCellMar>
          <w:top w:w="0" w:type="dxa"/>
          <w:left w:w="0" w:type="dxa"/>
          <w:bottom w:w="0" w:type="dxa"/>
          <w:right w:w="0" w:type="dxa"/>
        </w:tblCellMar>
      </w:tblPr>
      <w:tr>
        <w:trPr>
          <w:trHeight w:val="186"/>
        </w:trPr>
        <w:tc>
          <w:tcPr>
            <w:tcW w:w="51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Deposits:</w:t>
            </w:r>
          </w:p>
        </w:tc>
        <w:tc>
          <w:tcPr>
            <w:tcW w:w="7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508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In domestic offices</w:t>
            </w: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302,628,000</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50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Noninterest-bearing</w:t>
            </w:r>
          </w:p>
        </w:tc>
        <w:tc>
          <w:tcPr>
            <w:tcW w:w="7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124,486,000</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508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Interest-bearing</w:t>
            </w: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178,142,000</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50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In foreign offices, Edge and Agreement subsidiaries, and IBFs</w:t>
            </w:r>
          </w:p>
        </w:tc>
        <w:tc>
          <w:tcPr>
            <w:tcW w:w="7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117,096,000</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508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Noninterest-bearing</w:t>
            </w: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10,404,000</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50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Interest-bearing</w:t>
            </w:r>
          </w:p>
        </w:tc>
        <w:tc>
          <w:tcPr>
            <w:tcW w:w="7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106,692,000</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5080" w:type="dxa"/>
            <w:vAlign w:val="bottom"/>
          </w:tcPr>
          <w:p>
            <w:pPr>
              <w:spacing w:after="0"/>
              <w:rPr>
                <w:sz w:val="20"/>
                <w:szCs w:val="20"/>
                <w:color w:val="auto"/>
              </w:rPr>
            </w:pPr>
            <w:r>
              <w:rPr>
                <w:rFonts w:ascii="Times New Roman" w:cs="Times New Roman" w:eastAsia="Times New Roman" w:hAnsi="Times New Roman"/>
                <w:sz w:val="14"/>
                <w:szCs w:val="14"/>
                <w:color w:val="auto"/>
              </w:rPr>
              <w:t>Federal funds purchased and securities sold under agreements to repurchase:</w:t>
            </w: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50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Federal funds purchased in domestic offices</w:t>
            </w:r>
          </w:p>
        </w:tc>
        <w:tc>
          <w:tcPr>
            <w:tcW w:w="7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0</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508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Securities sold under agreements to repurchase</w:t>
            </w: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2,787,000</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Trading liabilities</w:t>
            </w:r>
          </w:p>
        </w:tc>
        <w:tc>
          <w:tcPr>
            <w:tcW w:w="7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2,480,000</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080" w:type="dxa"/>
            <w:vAlign w:val="bottom"/>
          </w:tcPr>
          <w:p>
            <w:pPr>
              <w:spacing w:after="0" w:line="155" w:lineRule="exact"/>
              <w:rPr>
                <w:sz w:val="20"/>
                <w:szCs w:val="20"/>
                <w:color w:val="auto"/>
              </w:rPr>
            </w:pPr>
            <w:r>
              <w:rPr>
                <w:rFonts w:ascii="Times New Roman" w:cs="Times New Roman" w:eastAsia="Times New Roman" w:hAnsi="Times New Roman"/>
                <w:sz w:val="14"/>
                <w:szCs w:val="14"/>
                <w:color w:val="auto"/>
              </w:rPr>
              <w:t>Other borrowed money:</w:t>
            </w: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50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(includes mortgage indebtedness)</w:t>
            </w: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3,682,000</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Not applicable</w:t>
            </w:r>
          </w:p>
        </w:tc>
        <w:tc>
          <w:tcPr>
            <w:tcW w:w="7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5080" w:type="dxa"/>
            <w:vAlign w:val="bottom"/>
          </w:tcPr>
          <w:p>
            <w:pPr>
              <w:spacing w:after="0"/>
              <w:rPr>
                <w:sz w:val="20"/>
                <w:szCs w:val="20"/>
                <w:color w:val="auto"/>
              </w:rPr>
            </w:pPr>
            <w:r>
              <w:rPr>
                <w:rFonts w:ascii="Times New Roman" w:cs="Times New Roman" w:eastAsia="Times New Roman" w:hAnsi="Times New Roman"/>
                <w:sz w:val="14"/>
                <w:szCs w:val="14"/>
                <w:color w:val="auto"/>
              </w:rPr>
              <w:t>Not applicable</w:t>
            </w: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Subordinated notes and debentures</w:t>
            </w:r>
          </w:p>
        </w:tc>
        <w:tc>
          <w:tcPr>
            <w:tcW w:w="7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0</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080" w:type="dxa"/>
            <w:vAlign w:val="bottom"/>
          </w:tcPr>
          <w:p>
            <w:pPr>
              <w:spacing w:after="0"/>
              <w:rPr>
                <w:sz w:val="20"/>
                <w:szCs w:val="20"/>
                <w:color w:val="auto"/>
              </w:rPr>
            </w:pPr>
            <w:r>
              <w:rPr>
                <w:rFonts w:ascii="Times New Roman" w:cs="Times New Roman" w:eastAsia="Times New Roman" w:hAnsi="Times New Roman"/>
                <w:sz w:val="14"/>
                <w:szCs w:val="14"/>
                <w:color w:val="auto"/>
              </w:rPr>
              <w:t>Other liabilities</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9,576,000</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liabilities</w:t>
            </w:r>
          </w:p>
        </w:tc>
        <w:tc>
          <w:tcPr>
            <w:tcW w:w="7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438,249,000</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1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EQUITY CAPITAL</w:t>
            </w: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5100" w:type="dxa"/>
            <w:vAlign w:val="bottom"/>
            <w:gridSpan w:val="2"/>
            <w:vMerge w:val="continue"/>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Perpetual preferred stock and related surplus</w:t>
            </w:r>
          </w:p>
        </w:tc>
        <w:tc>
          <w:tcPr>
            <w:tcW w:w="7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0</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5080" w:type="dxa"/>
            <w:vAlign w:val="bottom"/>
          </w:tcPr>
          <w:p>
            <w:pPr>
              <w:spacing w:after="0"/>
              <w:rPr>
                <w:sz w:val="20"/>
                <w:szCs w:val="20"/>
                <w:color w:val="auto"/>
              </w:rPr>
            </w:pPr>
            <w:r>
              <w:rPr>
                <w:rFonts w:ascii="Times New Roman" w:cs="Times New Roman" w:eastAsia="Times New Roman" w:hAnsi="Times New Roman"/>
                <w:sz w:val="14"/>
                <w:szCs w:val="14"/>
                <w:color w:val="auto"/>
              </w:rPr>
              <w:t>Common stock</w:t>
            </w: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1,135,000</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Surplus (exclude all surplus related to preferred stock)</w:t>
            </w:r>
          </w:p>
        </w:tc>
        <w:tc>
          <w:tcPr>
            <w:tcW w:w="8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13,112,000</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5080" w:type="dxa"/>
            <w:vAlign w:val="bottom"/>
          </w:tcPr>
          <w:p>
            <w:pPr>
              <w:spacing w:after="0"/>
              <w:rPr>
                <w:sz w:val="20"/>
                <w:szCs w:val="20"/>
                <w:color w:val="auto"/>
              </w:rPr>
            </w:pPr>
            <w:r>
              <w:rPr>
                <w:rFonts w:ascii="Times New Roman" w:cs="Times New Roman" w:eastAsia="Times New Roman" w:hAnsi="Times New Roman"/>
                <w:sz w:val="14"/>
                <w:szCs w:val="14"/>
                <w:color w:val="auto"/>
              </w:rPr>
              <w:t>Retained earnings</w:t>
            </w: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16,871,000</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Accumulated other comprehensive income</w:t>
            </w:r>
          </w:p>
        </w:tc>
        <w:tc>
          <w:tcPr>
            <w:tcW w:w="7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-2,018,000</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5080" w:type="dxa"/>
            <w:vAlign w:val="bottom"/>
          </w:tcPr>
          <w:p>
            <w:pPr>
              <w:spacing w:after="0"/>
              <w:rPr>
                <w:sz w:val="20"/>
                <w:szCs w:val="20"/>
                <w:color w:val="auto"/>
              </w:rPr>
            </w:pPr>
            <w:r>
              <w:rPr>
                <w:rFonts w:ascii="Times New Roman" w:cs="Times New Roman" w:eastAsia="Times New Roman" w:hAnsi="Times New Roman"/>
                <w:sz w:val="14"/>
                <w:szCs w:val="14"/>
                <w:color w:val="auto"/>
              </w:rPr>
              <w:t>Other equity capital components</w:t>
            </w: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0</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bank equity capital</w:t>
            </w:r>
          </w:p>
        </w:tc>
        <w:tc>
          <w:tcPr>
            <w:tcW w:w="7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29,100,000</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5080" w:type="dxa"/>
            <w:vAlign w:val="bottom"/>
          </w:tcPr>
          <w:p>
            <w:pPr>
              <w:spacing w:after="0"/>
              <w:rPr>
                <w:sz w:val="20"/>
                <w:szCs w:val="20"/>
                <w:color w:val="auto"/>
              </w:rPr>
            </w:pPr>
            <w:r>
              <w:rPr>
                <w:rFonts w:ascii="Times New Roman" w:cs="Times New Roman" w:eastAsia="Times New Roman" w:hAnsi="Times New Roman"/>
                <w:sz w:val="14"/>
                <w:szCs w:val="14"/>
                <w:color w:val="auto"/>
              </w:rPr>
              <w:t>Noncontrolling (minority) interests in consolidated subsidiaries</w:t>
            </w: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0</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equity capital</w:t>
            </w:r>
          </w:p>
        </w:tc>
        <w:tc>
          <w:tcPr>
            <w:tcW w:w="7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29,100,000</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1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Total liabilities and equity capital</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467,349,000</w:t>
            </w:r>
          </w:p>
        </w:tc>
        <w:tc>
          <w:tcPr>
            <w:tcW w:w="2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9019"/>
          </w:cols>
          <w:pgMar w:left="1440" w:top="240" w:right="1440" w:bottom="1440" w:gutter="0" w:footer="0" w:header="0"/>
        </w:sectPr>
      </w:pPr>
    </w:p>
    <w:bookmarkStart w:id="129" w:name="page130"/>
    <w:bookmarkEnd w:id="129"/>
    <w:p>
      <w:pPr>
        <w:ind w:left="160" w:right="299" w:firstLine="347"/>
        <w:spacing w:after="0" w:line="288"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3">
                      <a:extLst>
                        <a:ext uri="{28A0092B-C50C-407E-A947-70E740481C1C}"/>
                      </a:extLst>
                    </a:blip>
                    <a:srcRect/>
                    <a:stretch>
                      <a:fillRect/>
                    </a:stretch>
                  </pic:blipFill>
                  <pic:spPr bwMode="auto">
                    <a:xfrm>
                      <a:off x="0" y="0"/>
                      <a:ext cx="7200265" cy="33020"/>
                    </a:xfrm>
                    <a:prstGeom prst="rect">
                      <a:avLst/>
                    </a:prstGeom>
                    <a:noFill/>
                  </pic:spPr>
                </pic:pic>
              </a:graphicData>
            </a:graphic>
          </wp:anchor>
        </w:drawing>
        <w:t>I, Dermot McDonogh, Chief Financial Officer of the above-named bank do hereby declare that this Report of Condition is true and correct to the best of my knowledge and belief.</w:t>
      </w:r>
    </w:p>
    <w:p>
      <w:pPr>
        <w:spacing w:after="0" w:line="124" w:lineRule="exact"/>
        <w:rPr>
          <w:sz w:val="20"/>
          <w:szCs w:val="20"/>
          <w:color w:val="auto"/>
        </w:rPr>
      </w:pPr>
    </w:p>
    <w:p>
      <w:pPr>
        <w:ind w:left="6300"/>
        <w:spacing w:after="0"/>
        <w:rPr>
          <w:sz w:val="20"/>
          <w:szCs w:val="20"/>
          <w:color w:val="auto"/>
        </w:rPr>
      </w:pPr>
      <w:r>
        <w:rPr>
          <w:rFonts w:ascii="Times New Roman" w:cs="Times New Roman" w:eastAsia="Times New Roman" w:hAnsi="Times New Roman"/>
          <w:sz w:val="14"/>
          <w:szCs w:val="14"/>
          <w:color w:val="auto"/>
        </w:rPr>
        <w:t>   Dermot McDonogh</w:t>
      </w:r>
    </w:p>
    <w:p>
      <w:pPr>
        <w:spacing w:after="0" w:line="23" w:lineRule="exact"/>
        <w:rPr>
          <w:sz w:val="20"/>
          <w:szCs w:val="20"/>
          <w:color w:val="auto"/>
        </w:rPr>
      </w:pPr>
    </w:p>
    <w:p>
      <w:pPr>
        <w:ind w:left="6280"/>
        <w:spacing w:after="0"/>
        <w:rPr>
          <w:sz w:val="20"/>
          <w:szCs w:val="20"/>
          <w:color w:val="auto"/>
        </w:rPr>
      </w:pPr>
      <w:r>
        <w:rPr>
          <w:rFonts w:ascii="Times New Roman" w:cs="Times New Roman" w:eastAsia="Times New Roman" w:hAnsi="Times New Roman"/>
          <w:sz w:val="14"/>
          <w:szCs w:val="14"/>
          <w:color w:val="auto"/>
        </w:rPr>
        <w:t>Chief Financial Officer</w:t>
      </w:r>
    </w:p>
    <w:p>
      <w:pPr>
        <w:spacing w:after="0" w:line="165" w:lineRule="exact"/>
        <w:rPr>
          <w:sz w:val="20"/>
          <w:szCs w:val="20"/>
          <w:color w:val="auto"/>
        </w:rPr>
      </w:pPr>
    </w:p>
    <w:p>
      <w:pPr>
        <w:ind w:left="160" w:right="359" w:firstLine="347"/>
        <w:spacing w:after="0" w:line="288" w:lineRule="auto"/>
        <w:rPr>
          <w:sz w:val="20"/>
          <w:szCs w:val="20"/>
          <w:color w:val="auto"/>
        </w:rPr>
      </w:pPr>
      <w:r>
        <w:rPr>
          <w:rFonts w:ascii="Times New Roman" w:cs="Times New Roman" w:eastAsia="Times New Roman" w:hAnsi="Times New Roman"/>
          <w:sz w:val="14"/>
          <w:szCs w:val="14"/>
          <w:color w:val="auto"/>
        </w:rPr>
        <w:t>We, the undersigned directors, attest to the correctness of this statement of resources and liabilities. We declare that it has been examined by us, and to the best of our knowledge and belief has been prepared in conformance with the instructions and is true and correct.</w:t>
      </w:r>
    </w:p>
    <w:p>
      <w:pPr>
        <w:spacing w:after="0" w:line="140" w:lineRule="exact"/>
        <w:rPr>
          <w:sz w:val="20"/>
          <w:szCs w:val="20"/>
          <w:color w:val="auto"/>
        </w:rPr>
      </w:pPr>
    </w:p>
    <w:tbl>
      <w:tblPr>
        <w:tblLayout w:type="fixed"/>
        <w:tblInd w:w="160" w:type="dxa"/>
        <w:tblCellMar>
          <w:top w:w="0" w:type="dxa"/>
          <w:left w:w="0" w:type="dxa"/>
          <w:bottom w:w="0" w:type="dxa"/>
          <w:right w:w="0" w:type="dxa"/>
        </w:tblCellMar>
      </w:tblPr>
      <w:tr>
        <w:trPr>
          <w:trHeight w:val="156"/>
        </w:trPr>
        <w:tc>
          <w:tcPr>
            <w:tcW w:w="1660" w:type="dxa"/>
            <w:vAlign w:val="bottom"/>
          </w:tcPr>
          <w:p>
            <w:pPr>
              <w:spacing w:after="0" w:line="155" w:lineRule="exact"/>
              <w:rPr>
                <w:sz w:val="20"/>
                <w:szCs w:val="20"/>
                <w:color w:val="auto"/>
              </w:rPr>
            </w:pPr>
            <w:r>
              <w:rPr>
                <w:rFonts w:ascii="Times New Roman" w:cs="Times New Roman" w:eastAsia="Times New Roman" w:hAnsi="Times New Roman"/>
                <w:sz w:val="14"/>
                <w:szCs w:val="14"/>
                <w:color w:val="auto"/>
              </w:rPr>
              <w:t>Robin A. Vince</w:t>
            </w:r>
          </w:p>
        </w:tc>
        <w:tc>
          <w:tcPr>
            <w:tcW w:w="200" w:type="dxa"/>
            <w:vAlign w:val="bottom"/>
            <w:tcBorders>
              <w:top w:val="single" w:sz="8" w:color="auto"/>
              <w:right w:val="single" w:sz="8" w:color="auto"/>
            </w:tcBorders>
          </w:tcPr>
          <w:p>
            <w:pPr>
              <w:ind w:left="80"/>
              <w:spacing w:after="0" w:line="155" w:lineRule="exact"/>
              <w:rPr>
                <w:sz w:val="20"/>
                <w:szCs w:val="20"/>
                <w:color w:val="auto"/>
              </w:rPr>
            </w:pPr>
            <w:r>
              <w:rPr>
                <w:rFonts w:ascii="Times New Roman" w:cs="Times New Roman" w:eastAsia="Times New Roman" w:hAnsi="Times New Roman"/>
                <w:sz w:val="14"/>
                <w:szCs w:val="14"/>
                <w:color w:val="auto"/>
              </w:rPr>
              <w:t> </w:t>
            </w:r>
          </w:p>
        </w:tc>
        <w:tc>
          <w:tcPr>
            <w:tcW w:w="1300" w:type="dxa"/>
            <w:vAlign w:val="bottom"/>
          </w:tcPr>
          <w:p>
            <w:pPr>
              <w:spacing w:after="0"/>
              <w:rPr>
                <w:sz w:val="13"/>
                <w:szCs w:val="13"/>
                <w:color w:val="auto"/>
              </w:rPr>
            </w:pPr>
          </w:p>
        </w:tc>
      </w:tr>
      <w:tr>
        <w:trPr>
          <w:trHeight w:val="170"/>
        </w:trPr>
        <w:tc>
          <w:tcPr>
            <w:tcW w:w="1660" w:type="dxa"/>
            <w:vAlign w:val="bottom"/>
          </w:tcPr>
          <w:p>
            <w:pPr>
              <w:spacing w:after="0"/>
              <w:rPr>
                <w:sz w:val="20"/>
                <w:szCs w:val="20"/>
                <w:color w:val="auto"/>
              </w:rPr>
            </w:pPr>
            <w:r>
              <w:rPr>
                <w:rFonts w:ascii="Times New Roman" w:cs="Times New Roman" w:eastAsia="Times New Roman" w:hAnsi="Times New Roman"/>
                <w:sz w:val="14"/>
                <w:szCs w:val="14"/>
                <w:color w:val="auto"/>
              </w:rPr>
              <w:t>Jeffrey A. Goldstein</w:t>
            </w:r>
          </w:p>
        </w:tc>
        <w:tc>
          <w:tcPr>
            <w:tcW w:w="200" w:type="dxa"/>
            <w:vAlign w:val="bottom"/>
            <w:tcBorders>
              <w:right w:val="single" w:sz="8" w:color="auto"/>
            </w:tcBorders>
          </w:tcPr>
          <w:p>
            <w:pPr>
              <w:spacing w:after="0"/>
              <w:rPr>
                <w:sz w:val="14"/>
                <w:szCs w:val="14"/>
                <w:color w:val="auto"/>
              </w:rPr>
            </w:pPr>
          </w:p>
        </w:tc>
        <w:tc>
          <w:tcPr>
            <w:tcW w:w="130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               Directors</w:t>
            </w:r>
          </w:p>
        </w:tc>
      </w:tr>
      <w:tr>
        <w:trPr>
          <w:trHeight w:val="185"/>
        </w:trPr>
        <w:tc>
          <w:tcPr>
            <w:tcW w:w="1660" w:type="dxa"/>
            <w:vAlign w:val="bottom"/>
          </w:tcPr>
          <w:p>
            <w:pPr>
              <w:spacing w:after="0"/>
              <w:rPr>
                <w:sz w:val="20"/>
                <w:szCs w:val="20"/>
                <w:color w:val="auto"/>
              </w:rPr>
            </w:pPr>
            <w:r>
              <w:rPr>
                <w:rFonts w:ascii="Times New Roman" w:cs="Times New Roman" w:eastAsia="Times New Roman" w:hAnsi="Times New Roman"/>
                <w:sz w:val="14"/>
                <w:szCs w:val="14"/>
                <w:color w:val="auto"/>
              </w:rPr>
              <w:t>Joseph J. Echevarria</w:t>
            </w:r>
          </w:p>
        </w:tc>
        <w:tc>
          <w:tcPr>
            <w:tcW w:w="200" w:type="dxa"/>
            <w:vAlign w:val="bottom"/>
            <w:tcBorders>
              <w:bottom w:val="single" w:sz="8" w:color="auto"/>
              <w:right w:val="single" w:sz="8" w:color="auto"/>
            </w:tcBorders>
          </w:tcPr>
          <w:p>
            <w:pPr>
              <w:spacing w:after="0"/>
              <w:rPr>
                <w:sz w:val="16"/>
                <w:szCs w:val="16"/>
                <w:color w:val="auto"/>
              </w:rPr>
            </w:pPr>
          </w:p>
        </w:tc>
        <w:tc>
          <w:tcPr>
            <w:tcW w:w="1300" w:type="dxa"/>
            <w:vAlign w:val="bottom"/>
          </w:tcPr>
          <w:p>
            <w:pPr>
              <w:spacing w:after="0"/>
              <w:rPr>
                <w:sz w:val="16"/>
                <w:szCs w:val="16"/>
                <w:color w:val="auto"/>
              </w:rPr>
            </w:pPr>
          </w:p>
        </w:tc>
      </w:tr>
    </w:tbl>
    <w:p>
      <w:pPr>
        <w:sectPr>
          <w:pgSz w:w="11900" w:h="16838" w:orient="portrait"/>
          <w:cols w:equalWidth="0" w:num="1">
            <w:col w:w="9019"/>
          </w:cols>
          <w:pgMar w:left="1440" w:top="242" w:right="1440" w:bottom="1440" w:gutter="0" w:footer="0" w:header="0"/>
        </w:sectPr>
      </w:pPr>
    </w:p>
    <w:bookmarkStart w:id="130" w:name="page131"/>
    <w:bookmarkEnd w:id="130"/>
    <w:p>
      <w:pPr>
        <w:ind w:left="3460"/>
        <w:spacing w:after="0"/>
        <w:rPr>
          <w:sz w:val="20"/>
          <w:szCs w:val="20"/>
          <w:color w:val="auto"/>
        </w:rPr>
      </w:pPr>
      <w:r>
        <w:rPr>
          <w:rFonts w:ascii="Arial" w:cs="Arial" w:eastAsia="Arial" w:hAnsi="Arial"/>
          <w:sz w:val="28"/>
          <w:szCs w:val="28"/>
          <w:b w:val="1"/>
          <w:bCs w:val="1"/>
          <w:color w:val="auto"/>
        </w:rPr>
        <w:t>Calculation of Filing Fee Tables</w:t>
      </w:r>
    </w:p>
    <w:p>
      <w:pPr>
        <w:spacing w:after="0" w:line="178" w:lineRule="exact"/>
        <w:rPr>
          <w:sz w:val="20"/>
          <w:szCs w:val="20"/>
          <w:color w:val="auto"/>
        </w:rPr>
      </w:pPr>
    </w:p>
    <w:p>
      <w:pPr>
        <w:ind w:left="5360"/>
        <w:spacing w:after="0"/>
        <w:rPr>
          <w:sz w:val="20"/>
          <w:szCs w:val="20"/>
          <w:color w:val="auto"/>
        </w:rPr>
      </w:pPr>
      <w:r>
        <w:rPr>
          <w:rFonts w:ascii="Arial" w:cs="Arial" w:eastAsia="Arial" w:hAnsi="Arial"/>
          <w:sz w:val="28"/>
          <w:szCs w:val="28"/>
          <w:b w:val="1"/>
          <w:bCs w:val="1"/>
          <w:color w:val="auto"/>
        </w:rPr>
        <w:t>F-3</w:t>
      </w:r>
    </w:p>
    <w:p>
      <w:pPr>
        <w:spacing w:after="0" w:line="104" w:lineRule="exact"/>
        <w:rPr>
          <w:sz w:val="20"/>
          <w:szCs w:val="20"/>
          <w:color w:val="auto"/>
        </w:rPr>
      </w:pPr>
    </w:p>
    <w:p>
      <w:pPr>
        <w:jc w:val="center"/>
        <w:ind w:right="220"/>
        <w:spacing w:after="0"/>
        <w:rPr>
          <w:sz w:val="20"/>
          <w:szCs w:val="20"/>
          <w:color w:val="auto"/>
        </w:rPr>
      </w:pPr>
      <w:r>
        <w:rPr>
          <w:rFonts w:ascii="Arial" w:cs="Arial" w:eastAsia="Arial" w:hAnsi="Arial"/>
          <w:sz w:val="28"/>
          <w:szCs w:val="28"/>
          <w:b w:val="1"/>
          <w:bCs w:val="1"/>
          <w:color w:val="auto"/>
        </w:rPr>
        <w:t>CEMEX SAB DE CV</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278"/>
        </w:trPr>
        <w:tc>
          <w:tcPr>
            <w:tcW w:w="5360" w:type="dxa"/>
            <w:vAlign w:val="bottom"/>
            <w:tcBorders>
              <w:bottom w:val="single" w:sz="8" w:color="auto"/>
            </w:tcBorders>
            <w:gridSpan w:val="14"/>
          </w:tcPr>
          <w:p>
            <w:pPr>
              <w:ind w:left="40"/>
              <w:spacing w:after="0"/>
              <w:rPr>
                <w:sz w:val="20"/>
                <w:szCs w:val="20"/>
                <w:color w:val="auto"/>
              </w:rPr>
            </w:pPr>
            <w:r>
              <w:rPr>
                <w:rFonts w:ascii="Arial" w:cs="Arial" w:eastAsia="Arial" w:hAnsi="Arial"/>
                <w:sz w:val="17"/>
                <w:szCs w:val="17"/>
                <w:b w:val="1"/>
                <w:bCs w:val="1"/>
                <w:color w:val="auto"/>
              </w:rPr>
              <w:t>Table 1: Newly Registered and Carry Forward Securities</w:t>
            </w:r>
          </w:p>
        </w:tc>
        <w:tc>
          <w:tcPr>
            <w:tcW w:w="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gridSpan w:val="4"/>
          </w:tcPr>
          <w:p>
            <w:pPr>
              <w:ind w:left="300"/>
              <w:spacing w:after="0" w:line="196" w:lineRule="exact"/>
              <w:rPr>
                <w:sz w:val="20"/>
                <w:szCs w:val="20"/>
                <w:color w:val="auto"/>
              </w:rPr>
            </w:pPr>
            <w:r>
              <w:rPr>
                <w:rFonts w:ascii="MS PGothic" w:cs="MS PGothic" w:eastAsia="MS PGothic" w:hAnsi="MS PGothic"/>
                <w:sz w:val="17"/>
                <w:szCs w:val="17"/>
                <w:color w:val="auto"/>
                <w:highlight w:val="black"/>
              </w:rPr>
              <w:t>☐</w:t>
            </w:r>
            <w:r>
              <w:rPr>
                <w:rFonts w:ascii="Arial" w:cs="Arial" w:eastAsia="Arial" w:hAnsi="Arial"/>
                <w:sz w:val="17"/>
                <w:szCs w:val="17"/>
                <w:b w:val="1"/>
                <w:bCs w:val="1"/>
                <w:color w:val="auto"/>
              </w:rPr>
              <w:t>Not Applicable</w:t>
            </w:r>
          </w:p>
        </w:tc>
        <w:tc>
          <w:tcPr>
            <w:tcW w:w="0" w:type="dxa"/>
            <w:vAlign w:val="bottom"/>
          </w:tcPr>
          <w:p>
            <w:pPr>
              <w:spacing w:after="0"/>
              <w:rPr>
                <w:sz w:val="1"/>
                <w:szCs w:val="1"/>
                <w:color w:val="auto"/>
              </w:rPr>
            </w:pPr>
          </w:p>
        </w:tc>
      </w:tr>
      <w:tr>
        <w:trPr>
          <w:trHeight w:val="198"/>
        </w:trPr>
        <w:tc>
          <w:tcPr>
            <w:tcW w:w="40" w:type="dxa"/>
            <w:vAlign w:val="bottom"/>
          </w:tcPr>
          <w:p>
            <w:pPr>
              <w:spacing w:after="0"/>
              <w:rPr>
                <w:sz w:val="17"/>
                <w:szCs w:val="17"/>
                <w:color w:val="auto"/>
              </w:rPr>
            </w:pPr>
          </w:p>
        </w:tc>
        <w:tc>
          <w:tcPr>
            <w:tcW w:w="80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92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96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90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80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88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84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102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74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960" w:type="dxa"/>
            <w:vAlign w:val="bottom"/>
            <w:shd w:val="clear" w:color="auto" w:fill="9ADAF6"/>
          </w:tcPr>
          <w:p>
            <w:pPr>
              <w:jc w:val="center"/>
              <w:spacing w:after="0"/>
              <w:rPr>
                <w:sz w:val="20"/>
                <w:szCs w:val="20"/>
                <w:color w:val="auto"/>
              </w:rPr>
            </w:pPr>
            <w:r>
              <w:rPr>
                <w:rFonts w:ascii="Arial" w:cs="Arial" w:eastAsia="Arial" w:hAnsi="Arial"/>
                <w:sz w:val="17"/>
                <w:szCs w:val="17"/>
                <w:b w:val="1"/>
                <w:bCs w:val="1"/>
                <w:color w:val="auto"/>
              </w:rPr>
              <w:t>Filing Fee</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shd w:val="clear" w:color="auto" w:fill="9ADAF6"/>
          </w:tcPr>
          <w:p>
            <w:pPr>
              <w:jc w:val="center"/>
              <w:spacing w:after="0" w:line="192" w:lineRule="exact"/>
              <w:rPr>
                <w:sz w:val="20"/>
                <w:szCs w:val="20"/>
                <w:color w:val="auto"/>
              </w:rPr>
            </w:pPr>
            <w:r>
              <w:rPr>
                <w:rFonts w:ascii="Arial" w:cs="Arial" w:eastAsia="Arial" w:hAnsi="Arial"/>
                <w:sz w:val="17"/>
                <w:szCs w:val="17"/>
                <w:b w:val="1"/>
                <w:bCs w:val="1"/>
                <w:color w:val="auto"/>
                <w:w w:val="99"/>
              </w:rPr>
              <w:t>Previously</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5"/>
              </w:rPr>
              <w:t>Fee</w:t>
            </w:r>
          </w:p>
        </w:tc>
        <w:tc>
          <w:tcPr>
            <w:tcW w:w="20" w:type="dxa"/>
            <w:vAlign w:val="bottom"/>
          </w:tcPr>
          <w:p>
            <w:pPr>
              <w:spacing w:after="0"/>
              <w:rPr>
                <w:sz w:val="16"/>
                <w:szCs w:val="16"/>
                <w:color w:val="auto"/>
              </w:rPr>
            </w:pPr>
          </w:p>
        </w:tc>
        <w:tc>
          <w:tcPr>
            <w:tcW w:w="9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9"/>
              </w:rPr>
              <w:t>Proposed</w:t>
            </w:r>
          </w:p>
        </w:tc>
        <w:tc>
          <w:tcPr>
            <w:tcW w:w="20" w:type="dxa"/>
            <w:vAlign w:val="bottom"/>
          </w:tcPr>
          <w:p>
            <w:pPr>
              <w:spacing w:after="0"/>
              <w:rPr>
                <w:sz w:val="16"/>
                <w:szCs w:val="16"/>
                <w:color w:val="auto"/>
              </w:rPr>
            </w:pPr>
          </w:p>
        </w:tc>
        <w:tc>
          <w:tcPr>
            <w:tcW w:w="8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rPr>
              <w:t>Carry</w:t>
            </w:r>
          </w:p>
        </w:tc>
        <w:tc>
          <w:tcPr>
            <w:tcW w:w="20" w:type="dxa"/>
            <w:vAlign w:val="bottom"/>
          </w:tcPr>
          <w:p>
            <w:pPr>
              <w:spacing w:after="0"/>
              <w:rPr>
                <w:sz w:val="16"/>
                <w:szCs w:val="16"/>
                <w:color w:val="auto"/>
              </w:rPr>
            </w:pPr>
          </w:p>
        </w:tc>
        <w:tc>
          <w:tcPr>
            <w:tcW w:w="960" w:type="dxa"/>
            <w:vAlign w:val="bottom"/>
            <w:shd w:val="clear" w:color="auto" w:fill="9ADAF6"/>
          </w:tcPr>
          <w:p>
            <w:pPr>
              <w:jc w:val="center"/>
              <w:spacing w:after="0" w:line="192" w:lineRule="exact"/>
              <w:rPr>
                <w:sz w:val="20"/>
                <w:szCs w:val="20"/>
                <w:color w:val="auto"/>
              </w:rPr>
            </w:pPr>
            <w:r>
              <w:rPr>
                <w:rFonts w:ascii="Arial" w:cs="Arial" w:eastAsia="Arial" w:hAnsi="Arial"/>
                <w:sz w:val="17"/>
                <w:szCs w:val="17"/>
                <w:b w:val="1"/>
                <w:bCs w:val="1"/>
                <w:color w:val="auto"/>
              </w:rPr>
              <w:t>Paid in</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0"/>
        </w:trPr>
        <w:tc>
          <w:tcPr>
            <w:tcW w:w="40" w:type="dxa"/>
            <w:vAlign w:val="bottom"/>
          </w:tcPr>
          <w:p>
            <w:pPr>
              <w:spacing w:after="0"/>
              <w:rPr>
                <w:sz w:val="14"/>
                <w:szCs w:val="14"/>
                <w:color w:val="auto"/>
              </w:rPr>
            </w:pPr>
          </w:p>
        </w:tc>
        <w:tc>
          <w:tcPr>
            <w:tcW w:w="80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2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6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880" w:type="dxa"/>
            <w:vAlign w:val="bottom"/>
            <w:shd w:val="clear" w:color="auto" w:fill="9ADAF6"/>
          </w:tcPr>
          <w:p>
            <w:pPr>
              <w:jc w:val="center"/>
              <w:spacing w:after="0" w:line="170" w:lineRule="exact"/>
              <w:rPr>
                <w:sz w:val="20"/>
                <w:szCs w:val="20"/>
                <w:color w:val="auto"/>
              </w:rPr>
            </w:pPr>
            <w:r>
              <w:rPr>
                <w:rFonts w:ascii="Arial" w:cs="Arial" w:eastAsia="Arial" w:hAnsi="Arial"/>
                <w:sz w:val="17"/>
                <w:szCs w:val="17"/>
                <w:b w:val="1"/>
                <w:bCs w:val="1"/>
                <w:color w:val="auto"/>
                <w:w w:val="99"/>
              </w:rPr>
              <w:t>Maximum</w:t>
            </w:r>
          </w:p>
        </w:tc>
        <w:tc>
          <w:tcPr>
            <w:tcW w:w="20" w:type="dxa"/>
            <w:vAlign w:val="bottom"/>
          </w:tcPr>
          <w:p>
            <w:pPr>
              <w:spacing w:after="0"/>
              <w:rPr>
                <w:sz w:val="14"/>
                <w:szCs w:val="14"/>
                <w:color w:val="auto"/>
              </w:rPr>
            </w:pPr>
          </w:p>
        </w:tc>
        <w:tc>
          <w:tcPr>
            <w:tcW w:w="84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102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shd w:val="clear" w:color="auto" w:fill="9ADAF6"/>
          </w:tcPr>
          <w:p>
            <w:pPr>
              <w:jc w:val="center"/>
              <w:spacing w:after="0" w:line="170" w:lineRule="exact"/>
              <w:rPr>
                <w:sz w:val="20"/>
                <w:szCs w:val="20"/>
                <w:color w:val="auto"/>
              </w:rPr>
            </w:pPr>
            <w:r>
              <w:rPr>
                <w:rFonts w:ascii="Arial" w:cs="Arial" w:eastAsia="Arial" w:hAnsi="Arial"/>
                <w:sz w:val="17"/>
                <w:szCs w:val="17"/>
                <w:b w:val="1"/>
                <w:bCs w:val="1"/>
                <w:color w:val="auto"/>
                <w:w w:val="98"/>
              </w:rPr>
              <w:t>Carry</w:t>
            </w:r>
          </w:p>
        </w:tc>
        <w:tc>
          <w:tcPr>
            <w:tcW w:w="20" w:type="dxa"/>
            <w:vAlign w:val="bottom"/>
          </w:tcPr>
          <w:p>
            <w:pPr>
              <w:spacing w:after="0"/>
              <w:rPr>
                <w:sz w:val="14"/>
                <w:szCs w:val="14"/>
                <w:color w:val="auto"/>
              </w:rPr>
            </w:pPr>
          </w:p>
        </w:tc>
        <w:tc>
          <w:tcPr>
            <w:tcW w:w="700" w:type="dxa"/>
            <w:vAlign w:val="bottom"/>
            <w:shd w:val="clear" w:color="auto" w:fill="9ADAF6"/>
          </w:tcPr>
          <w:p>
            <w:pPr>
              <w:jc w:val="center"/>
              <w:spacing w:after="0" w:line="170" w:lineRule="exact"/>
              <w:rPr>
                <w:sz w:val="20"/>
                <w:szCs w:val="20"/>
                <w:color w:val="auto"/>
              </w:rPr>
            </w:pPr>
            <w:r>
              <w:rPr>
                <w:rFonts w:ascii="Arial" w:cs="Arial" w:eastAsia="Arial" w:hAnsi="Arial"/>
                <w:sz w:val="17"/>
                <w:szCs w:val="17"/>
                <w:b w:val="1"/>
                <w:bCs w:val="1"/>
                <w:color w:val="auto"/>
              </w:rPr>
              <w:t>Carry</w:t>
            </w:r>
          </w:p>
        </w:tc>
        <w:tc>
          <w:tcPr>
            <w:tcW w:w="20" w:type="dxa"/>
            <w:vAlign w:val="bottom"/>
          </w:tcPr>
          <w:p>
            <w:pPr>
              <w:spacing w:after="0"/>
              <w:rPr>
                <w:sz w:val="14"/>
                <w:szCs w:val="14"/>
                <w:color w:val="auto"/>
              </w:rPr>
            </w:pPr>
          </w:p>
        </w:tc>
        <w:tc>
          <w:tcPr>
            <w:tcW w:w="74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60" w:type="dxa"/>
            <w:vAlign w:val="bottom"/>
            <w:shd w:val="clear" w:color="auto" w:fill="9ADAF6"/>
          </w:tcPr>
          <w:p>
            <w:pPr>
              <w:jc w:val="center"/>
              <w:spacing w:after="0" w:line="170" w:lineRule="exact"/>
              <w:rPr>
                <w:sz w:val="20"/>
                <w:szCs w:val="20"/>
                <w:color w:val="auto"/>
              </w:rPr>
            </w:pPr>
            <w:r>
              <w:rPr>
                <w:rFonts w:ascii="Arial" w:cs="Arial" w:eastAsia="Arial" w:hAnsi="Arial"/>
                <w:sz w:val="17"/>
                <w:szCs w:val="17"/>
                <w:b w:val="1"/>
                <w:bCs w:val="1"/>
                <w:color w:val="auto"/>
              </w:rPr>
              <w:t>Connection</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ind w:left="20"/>
              <w:spacing w:after="0" w:line="192" w:lineRule="exact"/>
              <w:rPr>
                <w:sz w:val="20"/>
                <w:szCs w:val="20"/>
                <w:color w:val="auto"/>
              </w:rPr>
            </w:pPr>
            <w:r>
              <w:rPr>
                <w:rFonts w:ascii="Arial" w:cs="Arial" w:eastAsia="Arial" w:hAnsi="Arial"/>
                <w:sz w:val="17"/>
                <w:szCs w:val="17"/>
                <w:b w:val="1"/>
                <w:bCs w:val="1"/>
                <w:color w:val="auto"/>
                <w:w w:val="98"/>
              </w:rPr>
              <w:t>Security</w:t>
            </w:r>
          </w:p>
        </w:tc>
        <w:tc>
          <w:tcPr>
            <w:tcW w:w="20" w:type="dxa"/>
            <w:vAlign w:val="bottom"/>
          </w:tcPr>
          <w:p>
            <w:pPr>
              <w:spacing w:after="0"/>
              <w:rPr>
                <w:sz w:val="16"/>
                <w:szCs w:val="16"/>
                <w:color w:val="auto"/>
              </w:rPr>
            </w:pPr>
          </w:p>
        </w:tc>
        <w:tc>
          <w:tcPr>
            <w:tcW w:w="920" w:type="dxa"/>
            <w:vAlign w:val="bottom"/>
            <w:shd w:val="clear" w:color="auto" w:fill="9ADAF6"/>
          </w:tcPr>
          <w:p>
            <w:pPr>
              <w:ind w:left="140"/>
              <w:spacing w:after="0" w:line="192" w:lineRule="exact"/>
              <w:rPr>
                <w:sz w:val="20"/>
                <w:szCs w:val="20"/>
                <w:color w:val="auto"/>
              </w:rPr>
            </w:pPr>
            <w:r>
              <w:rPr>
                <w:rFonts w:ascii="Arial" w:cs="Arial" w:eastAsia="Arial" w:hAnsi="Arial"/>
                <w:sz w:val="17"/>
                <w:szCs w:val="17"/>
                <w:b w:val="1"/>
                <w:bCs w:val="1"/>
                <w:color w:val="auto"/>
              </w:rPr>
              <w:t>Security</w:t>
            </w:r>
          </w:p>
        </w:tc>
        <w:tc>
          <w:tcPr>
            <w:tcW w:w="20" w:type="dxa"/>
            <w:vAlign w:val="bottom"/>
          </w:tcPr>
          <w:p>
            <w:pPr>
              <w:spacing w:after="0"/>
              <w:rPr>
                <w:sz w:val="16"/>
                <w:szCs w:val="16"/>
                <w:color w:val="auto"/>
              </w:rPr>
            </w:pPr>
          </w:p>
        </w:tc>
        <w:tc>
          <w:tcPr>
            <w:tcW w:w="960" w:type="dxa"/>
            <w:vAlign w:val="bottom"/>
            <w:shd w:val="clear" w:color="auto" w:fill="9ADAF6"/>
          </w:tcPr>
          <w:p>
            <w:pPr>
              <w:jc w:val="center"/>
              <w:spacing w:after="0" w:line="192" w:lineRule="exact"/>
              <w:rPr>
                <w:sz w:val="20"/>
                <w:szCs w:val="20"/>
                <w:color w:val="auto"/>
              </w:rPr>
            </w:pPr>
            <w:r>
              <w:rPr>
                <w:rFonts w:ascii="Arial" w:cs="Arial" w:eastAsia="Arial" w:hAnsi="Arial"/>
                <w:sz w:val="17"/>
                <w:szCs w:val="17"/>
                <w:b w:val="1"/>
                <w:bCs w:val="1"/>
                <w:color w:val="auto"/>
              </w:rPr>
              <w:t>Calculation</w:t>
            </w:r>
          </w:p>
        </w:tc>
        <w:tc>
          <w:tcPr>
            <w:tcW w:w="20" w:type="dxa"/>
            <w:vAlign w:val="bottom"/>
          </w:tcPr>
          <w:p>
            <w:pPr>
              <w:spacing w:after="0"/>
              <w:rPr>
                <w:sz w:val="16"/>
                <w:szCs w:val="16"/>
                <w:color w:val="auto"/>
              </w:rPr>
            </w:pPr>
          </w:p>
        </w:tc>
        <w:tc>
          <w:tcPr>
            <w:tcW w:w="900" w:type="dxa"/>
            <w:vAlign w:val="bottom"/>
            <w:shd w:val="clear" w:color="auto" w:fill="9ADAF6"/>
          </w:tcPr>
          <w:p>
            <w:pPr>
              <w:jc w:val="center"/>
              <w:spacing w:after="0" w:line="192" w:lineRule="exact"/>
              <w:rPr>
                <w:sz w:val="20"/>
                <w:szCs w:val="20"/>
                <w:color w:val="auto"/>
              </w:rPr>
            </w:pPr>
            <w:r>
              <w:rPr>
                <w:rFonts w:ascii="Arial" w:cs="Arial" w:eastAsia="Arial" w:hAnsi="Arial"/>
                <w:sz w:val="17"/>
                <w:szCs w:val="17"/>
                <w:b w:val="1"/>
                <w:bCs w:val="1"/>
                <w:color w:val="auto"/>
                <w:w w:val="99"/>
              </w:rPr>
              <w:t>Amount</w:t>
            </w:r>
          </w:p>
        </w:tc>
        <w:tc>
          <w:tcPr>
            <w:tcW w:w="20" w:type="dxa"/>
            <w:vAlign w:val="bottom"/>
          </w:tcPr>
          <w:p>
            <w:pPr>
              <w:spacing w:after="0"/>
              <w:rPr>
                <w:sz w:val="16"/>
                <w:szCs w:val="16"/>
                <w:color w:val="auto"/>
              </w:rPr>
            </w:pPr>
          </w:p>
        </w:tc>
        <w:tc>
          <w:tcPr>
            <w:tcW w:w="800" w:type="dxa"/>
            <w:vAlign w:val="bottom"/>
            <w:shd w:val="clear" w:color="auto" w:fill="9ADAF6"/>
          </w:tcPr>
          <w:p>
            <w:pPr>
              <w:jc w:val="center"/>
              <w:spacing w:after="0" w:line="192" w:lineRule="exact"/>
              <w:rPr>
                <w:sz w:val="20"/>
                <w:szCs w:val="20"/>
                <w:color w:val="auto"/>
              </w:rPr>
            </w:pPr>
            <w:r>
              <w:rPr>
                <w:rFonts w:ascii="Arial" w:cs="Arial" w:eastAsia="Arial" w:hAnsi="Arial"/>
                <w:sz w:val="17"/>
                <w:szCs w:val="17"/>
                <w:b w:val="1"/>
                <w:bCs w:val="1"/>
                <w:color w:val="auto"/>
                <w:w w:val="99"/>
              </w:rPr>
              <w:t>Maximum</w:t>
            </w:r>
          </w:p>
        </w:tc>
        <w:tc>
          <w:tcPr>
            <w:tcW w:w="20" w:type="dxa"/>
            <w:vAlign w:val="bottom"/>
          </w:tcPr>
          <w:p>
            <w:pPr>
              <w:spacing w:after="0"/>
              <w:rPr>
                <w:sz w:val="16"/>
                <w:szCs w:val="16"/>
                <w:color w:val="auto"/>
              </w:rPr>
            </w:pPr>
          </w:p>
        </w:tc>
        <w:tc>
          <w:tcPr>
            <w:tcW w:w="880" w:type="dxa"/>
            <w:vAlign w:val="bottom"/>
            <w:shd w:val="clear" w:color="auto" w:fill="9ADAF6"/>
          </w:tcPr>
          <w:p>
            <w:pPr>
              <w:jc w:val="center"/>
              <w:spacing w:after="0" w:line="192" w:lineRule="exact"/>
              <w:rPr>
                <w:sz w:val="20"/>
                <w:szCs w:val="20"/>
                <w:color w:val="auto"/>
              </w:rPr>
            </w:pPr>
            <w:r>
              <w:rPr>
                <w:rFonts w:ascii="Arial" w:cs="Arial" w:eastAsia="Arial" w:hAnsi="Arial"/>
                <w:sz w:val="17"/>
                <w:szCs w:val="17"/>
                <w:b w:val="1"/>
                <w:bCs w:val="1"/>
                <w:color w:val="auto"/>
                <w:w w:val="99"/>
              </w:rPr>
              <w:t>Aggregate</w:t>
            </w:r>
          </w:p>
        </w:tc>
        <w:tc>
          <w:tcPr>
            <w:tcW w:w="20" w:type="dxa"/>
            <w:vAlign w:val="bottom"/>
          </w:tcPr>
          <w:p>
            <w:pPr>
              <w:spacing w:after="0"/>
              <w:rPr>
                <w:sz w:val="16"/>
                <w:szCs w:val="16"/>
                <w:color w:val="auto"/>
              </w:rPr>
            </w:pPr>
          </w:p>
        </w:tc>
        <w:tc>
          <w:tcPr>
            <w:tcW w:w="8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9ADAF6"/>
          </w:tcPr>
          <w:p>
            <w:pPr>
              <w:jc w:val="center"/>
              <w:spacing w:after="0" w:line="192" w:lineRule="exact"/>
              <w:rPr>
                <w:sz w:val="20"/>
                <w:szCs w:val="20"/>
                <w:color w:val="auto"/>
              </w:rPr>
            </w:pPr>
            <w:r>
              <w:rPr>
                <w:rFonts w:ascii="Arial" w:cs="Arial" w:eastAsia="Arial" w:hAnsi="Arial"/>
                <w:sz w:val="17"/>
                <w:szCs w:val="17"/>
                <w:b w:val="1"/>
                <w:bCs w:val="1"/>
                <w:color w:val="auto"/>
                <w:w w:val="98"/>
              </w:rPr>
              <w:t>Amount of</w:t>
            </w:r>
          </w:p>
        </w:tc>
        <w:tc>
          <w:tcPr>
            <w:tcW w:w="20" w:type="dxa"/>
            <w:vAlign w:val="bottom"/>
          </w:tcPr>
          <w:p>
            <w:pPr>
              <w:spacing w:after="0"/>
              <w:rPr>
                <w:sz w:val="16"/>
                <w:szCs w:val="16"/>
                <w:color w:val="auto"/>
              </w:rPr>
            </w:pPr>
          </w:p>
        </w:tc>
        <w:tc>
          <w:tcPr>
            <w:tcW w:w="700" w:type="dxa"/>
            <w:vAlign w:val="bottom"/>
            <w:shd w:val="clear" w:color="auto" w:fill="9ADAF6"/>
          </w:tcPr>
          <w:p>
            <w:pPr>
              <w:jc w:val="center"/>
              <w:spacing w:after="0" w:line="192" w:lineRule="exact"/>
              <w:rPr>
                <w:sz w:val="20"/>
                <w:szCs w:val="20"/>
                <w:color w:val="auto"/>
              </w:rPr>
            </w:pPr>
            <w:r>
              <w:rPr>
                <w:rFonts w:ascii="Arial" w:cs="Arial" w:eastAsia="Arial" w:hAnsi="Arial"/>
                <w:sz w:val="17"/>
                <w:szCs w:val="17"/>
                <w:b w:val="1"/>
                <w:bCs w:val="1"/>
                <w:color w:val="auto"/>
                <w:w w:val="98"/>
              </w:rPr>
              <w:t>Forward</w:t>
            </w:r>
          </w:p>
        </w:tc>
        <w:tc>
          <w:tcPr>
            <w:tcW w:w="20" w:type="dxa"/>
            <w:vAlign w:val="bottom"/>
          </w:tcPr>
          <w:p>
            <w:pPr>
              <w:spacing w:after="0"/>
              <w:rPr>
                <w:sz w:val="16"/>
                <w:szCs w:val="16"/>
                <w:color w:val="auto"/>
              </w:rPr>
            </w:pPr>
          </w:p>
        </w:tc>
        <w:tc>
          <w:tcPr>
            <w:tcW w:w="700" w:type="dxa"/>
            <w:vAlign w:val="bottom"/>
            <w:shd w:val="clear" w:color="auto" w:fill="9ADAF6"/>
          </w:tcPr>
          <w:p>
            <w:pPr>
              <w:jc w:val="center"/>
              <w:spacing w:after="0" w:line="192" w:lineRule="exact"/>
              <w:rPr>
                <w:sz w:val="20"/>
                <w:szCs w:val="20"/>
                <w:color w:val="auto"/>
              </w:rPr>
            </w:pPr>
            <w:r>
              <w:rPr>
                <w:rFonts w:ascii="Arial" w:cs="Arial" w:eastAsia="Arial" w:hAnsi="Arial"/>
                <w:sz w:val="17"/>
                <w:szCs w:val="17"/>
                <w:b w:val="1"/>
                <w:bCs w:val="1"/>
                <w:color w:val="auto"/>
                <w:w w:val="98"/>
              </w:rPr>
              <w:t>Forward</w:t>
            </w:r>
          </w:p>
        </w:tc>
        <w:tc>
          <w:tcPr>
            <w:tcW w:w="20" w:type="dxa"/>
            <w:vAlign w:val="bottom"/>
          </w:tcPr>
          <w:p>
            <w:pPr>
              <w:spacing w:after="0"/>
              <w:rPr>
                <w:sz w:val="16"/>
                <w:szCs w:val="16"/>
                <w:color w:val="auto"/>
              </w:rPr>
            </w:pPr>
          </w:p>
        </w:tc>
        <w:tc>
          <w:tcPr>
            <w:tcW w:w="740" w:type="dxa"/>
            <w:vAlign w:val="bottom"/>
            <w:shd w:val="clear" w:color="auto" w:fill="9ADAF6"/>
          </w:tcPr>
          <w:p>
            <w:pPr>
              <w:jc w:val="center"/>
              <w:spacing w:after="0" w:line="192" w:lineRule="exact"/>
              <w:rPr>
                <w:sz w:val="20"/>
                <w:szCs w:val="20"/>
                <w:color w:val="auto"/>
              </w:rPr>
            </w:pPr>
            <w:r>
              <w:rPr>
                <w:rFonts w:ascii="Arial" w:cs="Arial" w:eastAsia="Arial" w:hAnsi="Arial"/>
                <w:sz w:val="17"/>
                <w:szCs w:val="17"/>
                <w:b w:val="1"/>
                <w:bCs w:val="1"/>
                <w:color w:val="auto"/>
                <w:w w:val="98"/>
              </w:rPr>
              <w:t>Forward</w:t>
            </w:r>
          </w:p>
        </w:tc>
        <w:tc>
          <w:tcPr>
            <w:tcW w:w="20" w:type="dxa"/>
            <w:vAlign w:val="bottom"/>
          </w:tcPr>
          <w:p>
            <w:pPr>
              <w:spacing w:after="0"/>
              <w:rPr>
                <w:sz w:val="16"/>
                <w:szCs w:val="16"/>
                <w:color w:val="auto"/>
              </w:rPr>
            </w:pPr>
          </w:p>
        </w:tc>
        <w:tc>
          <w:tcPr>
            <w:tcW w:w="960" w:type="dxa"/>
            <w:vAlign w:val="bottom"/>
            <w:shd w:val="clear" w:color="auto" w:fill="9ADAF6"/>
          </w:tcPr>
          <w:p>
            <w:pPr>
              <w:jc w:val="center"/>
              <w:spacing w:after="0" w:line="192" w:lineRule="exact"/>
              <w:rPr>
                <w:sz w:val="20"/>
                <w:szCs w:val="20"/>
                <w:color w:val="auto"/>
              </w:rPr>
            </w:pPr>
            <w:r>
              <w:rPr>
                <w:rFonts w:ascii="Arial" w:cs="Arial" w:eastAsia="Arial" w:hAnsi="Arial"/>
                <w:sz w:val="17"/>
                <w:szCs w:val="17"/>
                <w:b w:val="1"/>
                <w:bCs w:val="1"/>
                <w:color w:val="auto"/>
                <w:w w:val="99"/>
              </w:rPr>
              <w:t>with</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ind w:left="160"/>
              <w:spacing w:after="0" w:line="192" w:lineRule="exact"/>
              <w:rPr>
                <w:sz w:val="20"/>
                <w:szCs w:val="20"/>
                <w:color w:val="auto"/>
              </w:rPr>
            </w:pPr>
            <w:r>
              <w:rPr>
                <w:rFonts w:ascii="Arial" w:cs="Arial" w:eastAsia="Arial" w:hAnsi="Arial"/>
                <w:sz w:val="17"/>
                <w:szCs w:val="17"/>
                <w:b w:val="1"/>
                <w:bCs w:val="1"/>
                <w:color w:val="auto"/>
              </w:rPr>
              <w:t>Type</w:t>
            </w:r>
          </w:p>
        </w:tc>
        <w:tc>
          <w:tcPr>
            <w:tcW w:w="20" w:type="dxa"/>
            <w:vAlign w:val="bottom"/>
          </w:tcPr>
          <w:p>
            <w:pPr>
              <w:spacing w:after="0"/>
              <w:rPr>
                <w:sz w:val="16"/>
                <w:szCs w:val="16"/>
                <w:color w:val="auto"/>
              </w:rPr>
            </w:pPr>
          </w:p>
        </w:tc>
        <w:tc>
          <w:tcPr>
            <w:tcW w:w="920" w:type="dxa"/>
            <w:vAlign w:val="bottom"/>
            <w:shd w:val="clear" w:color="auto" w:fill="9ADAF6"/>
          </w:tcPr>
          <w:p>
            <w:pPr>
              <w:ind w:left="40"/>
              <w:spacing w:after="0" w:line="192" w:lineRule="exact"/>
              <w:rPr>
                <w:sz w:val="20"/>
                <w:szCs w:val="20"/>
                <w:color w:val="auto"/>
              </w:rPr>
            </w:pPr>
            <w:r>
              <w:rPr>
                <w:rFonts w:ascii="Arial" w:cs="Arial" w:eastAsia="Arial" w:hAnsi="Arial"/>
                <w:sz w:val="17"/>
                <w:szCs w:val="17"/>
                <w:b w:val="1"/>
                <w:bCs w:val="1"/>
                <w:color w:val="auto"/>
              </w:rPr>
              <w:t>Class Title</w:t>
            </w:r>
          </w:p>
        </w:tc>
        <w:tc>
          <w:tcPr>
            <w:tcW w:w="20" w:type="dxa"/>
            <w:vAlign w:val="bottom"/>
          </w:tcPr>
          <w:p>
            <w:pPr>
              <w:spacing w:after="0"/>
              <w:rPr>
                <w:sz w:val="16"/>
                <w:szCs w:val="16"/>
                <w:color w:val="auto"/>
              </w:rPr>
            </w:pPr>
          </w:p>
        </w:tc>
        <w:tc>
          <w:tcPr>
            <w:tcW w:w="960" w:type="dxa"/>
            <w:vAlign w:val="bottom"/>
            <w:shd w:val="clear" w:color="auto" w:fill="9ADAF6"/>
          </w:tcPr>
          <w:p>
            <w:pPr>
              <w:jc w:val="center"/>
              <w:spacing w:after="0" w:line="192" w:lineRule="exact"/>
              <w:rPr>
                <w:sz w:val="20"/>
                <w:szCs w:val="20"/>
                <w:color w:val="auto"/>
              </w:rPr>
            </w:pPr>
            <w:r>
              <w:rPr>
                <w:rFonts w:ascii="Arial" w:cs="Arial" w:eastAsia="Arial" w:hAnsi="Arial"/>
                <w:sz w:val="17"/>
                <w:szCs w:val="17"/>
                <w:b w:val="1"/>
                <w:bCs w:val="1"/>
                <w:color w:val="auto"/>
                <w:w w:val="99"/>
              </w:rPr>
              <w:t>or Carry</w:t>
            </w:r>
          </w:p>
        </w:tc>
        <w:tc>
          <w:tcPr>
            <w:tcW w:w="20" w:type="dxa"/>
            <w:vAlign w:val="bottom"/>
          </w:tcPr>
          <w:p>
            <w:pPr>
              <w:spacing w:after="0"/>
              <w:rPr>
                <w:sz w:val="16"/>
                <w:szCs w:val="16"/>
                <w:color w:val="auto"/>
              </w:rPr>
            </w:pPr>
          </w:p>
        </w:tc>
        <w:tc>
          <w:tcPr>
            <w:tcW w:w="900" w:type="dxa"/>
            <w:vAlign w:val="bottom"/>
            <w:shd w:val="clear" w:color="auto" w:fill="9ADAF6"/>
          </w:tcPr>
          <w:p>
            <w:pPr>
              <w:jc w:val="center"/>
              <w:spacing w:after="0" w:line="192" w:lineRule="exact"/>
              <w:rPr>
                <w:sz w:val="20"/>
                <w:szCs w:val="20"/>
                <w:color w:val="auto"/>
              </w:rPr>
            </w:pPr>
            <w:r>
              <w:rPr>
                <w:rFonts w:ascii="Arial" w:cs="Arial" w:eastAsia="Arial" w:hAnsi="Arial"/>
                <w:sz w:val="17"/>
                <w:szCs w:val="17"/>
                <w:b w:val="1"/>
                <w:bCs w:val="1"/>
                <w:color w:val="auto"/>
              </w:rPr>
              <w:t>Registered</w:t>
            </w:r>
          </w:p>
        </w:tc>
        <w:tc>
          <w:tcPr>
            <w:tcW w:w="20" w:type="dxa"/>
            <w:vAlign w:val="bottom"/>
          </w:tcPr>
          <w:p>
            <w:pPr>
              <w:spacing w:after="0"/>
              <w:rPr>
                <w:sz w:val="16"/>
                <w:szCs w:val="16"/>
                <w:color w:val="auto"/>
              </w:rPr>
            </w:pPr>
          </w:p>
        </w:tc>
        <w:tc>
          <w:tcPr>
            <w:tcW w:w="800" w:type="dxa"/>
            <w:vAlign w:val="bottom"/>
            <w:shd w:val="clear" w:color="auto" w:fill="9ADAF6"/>
          </w:tcPr>
          <w:p>
            <w:pPr>
              <w:jc w:val="center"/>
              <w:spacing w:after="0" w:line="192" w:lineRule="exact"/>
              <w:rPr>
                <w:sz w:val="20"/>
                <w:szCs w:val="20"/>
                <w:color w:val="auto"/>
              </w:rPr>
            </w:pPr>
            <w:r>
              <w:rPr>
                <w:rFonts w:ascii="Arial" w:cs="Arial" w:eastAsia="Arial" w:hAnsi="Arial"/>
                <w:sz w:val="17"/>
                <w:szCs w:val="17"/>
                <w:b w:val="1"/>
                <w:bCs w:val="1"/>
                <w:color w:val="auto"/>
                <w:w w:val="99"/>
              </w:rPr>
              <w:t>Offering</w:t>
            </w:r>
          </w:p>
        </w:tc>
        <w:tc>
          <w:tcPr>
            <w:tcW w:w="20" w:type="dxa"/>
            <w:vAlign w:val="bottom"/>
          </w:tcPr>
          <w:p>
            <w:pPr>
              <w:spacing w:after="0"/>
              <w:rPr>
                <w:sz w:val="16"/>
                <w:szCs w:val="16"/>
                <w:color w:val="auto"/>
              </w:rPr>
            </w:pPr>
          </w:p>
        </w:tc>
        <w:tc>
          <w:tcPr>
            <w:tcW w:w="880" w:type="dxa"/>
            <w:vAlign w:val="bottom"/>
            <w:shd w:val="clear" w:color="auto" w:fill="9ADAF6"/>
          </w:tcPr>
          <w:p>
            <w:pPr>
              <w:jc w:val="center"/>
              <w:spacing w:after="0" w:line="192" w:lineRule="exact"/>
              <w:rPr>
                <w:sz w:val="20"/>
                <w:szCs w:val="20"/>
                <w:color w:val="auto"/>
              </w:rPr>
            </w:pPr>
            <w:r>
              <w:rPr>
                <w:rFonts w:ascii="Arial" w:cs="Arial" w:eastAsia="Arial" w:hAnsi="Arial"/>
                <w:sz w:val="17"/>
                <w:szCs w:val="17"/>
                <w:b w:val="1"/>
                <w:bCs w:val="1"/>
                <w:color w:val="auto"/>
                <w:w w:val="99"/>
              </w:rPr>
              <w:t>Offering</w:t>
            </w:r>
          </w:p>
        </w:tc>
        <w:tc>
          <w:tcPr>
            <w:tcW w:w="20" w:type="dxa"/>
            <w:vAlign w:val="bottom"/>
          </w:tcPr>
          <w:p>
            <w:pPr>
              <w:spacing w:after="0"/>
              <w:rPr>
                <w:sz w:val="16"/>
                <w:szCs w:val="16"/>
                <w:color w:val="auto"/>
              </w:rPr>
            </w:pPr>
          </w:p>
        </w:tc>
        <w:tc>
          <w:tcPr>
            <w:tcW w:w="840" w:type="dxa"/>
            <w:vAlign w:val="bottom"/>
            <w:shd w:val="clear" w:color="auto" w:fill="9ADAF6"/>
          </w:tcPr>
          <w:p>
            <w:pPr>
              <w:jc w:val="center"/>
              <w:spacing w:after="0" w:line="192" w:lineRule="exact"/>
              <w:rPr>
                <w:sz w:val="20"/>
                <w:szCs w:val="20"/>
                <w:color w:val="auto"/>
              </w:rPr>
            </w:pPr>
            <w:r>
              <w:rPr>
                <w:rFonts w:ascii="Arial" w:cs="Arial" w:eastAsia="Arial" w:hAnsi="Arial"/>
                <w:sz w:val="17"/>
                <w:szCs w:val="17"/>
                <w:b w:val="1"/>
                <w:bCs w:val="1"/>
                <w:color w:val="auto"/>
              </w:rPr>
              <w:t>Fee Rate</w:t>
            </w:r>
          </w:p>
        </w:tc>
        <w:tc>
          <w:tcPr>
            <w:tcW w:w="20" w:type="dxa"/>
            <w:vAlign w:val="bottom"/>
          </w:tcPr>
          <w:p>
            <w:pPr>
              <w:spacing w:after="0"/>
              <w:rPr>
                <w:sz w:val="16"/>
                <w:szCs w:val="16"/>
                <w:color w:val="auto"/>
              </w:rPr>
            </w:pPr>
          </w:p>
        </w:tc>
        <w:tc>
          <w:tcPr>
            <w:tcW w:w="1020" w:type="dxa"/>
            <w:vAlign w:val="bottom"/>
            <w:shd w:val="clear" w:color="auto" w:fill="9ADAF6"/>
          </w:tcPr>
          <w:p>
            <w:pPr>
              <w:jc w:val="center"/>
              <w:spacing w:after="0" w:line="192" w:lineRule="exact"/>
              <w:rPr>
                <w:sz w:val="20"/>
                <w:szCs w:val="20"/>
                <w:color w:val="auto"/>
              </w:rPr>
            </w:pPr>
            <w:r>
              <w:rPr>
                <w:rFonts w:ascii="Arial" w:cs="Arial" w:eastAsia="Arial" w:hAnsi="Arial"/>
                <w:sz w:val="17"/>
                <w:szCs w:val="17"/>
                <w:b w:val="1"/>
                <w:bCs w:val="1"/>
                <w:color w:val="auto"/>
              </w:rPr>
              <w:t>Registration</w:t>
            </w:r>
          </w:p>
        </w:tc>
        <w:tc>
          <w:tcPr>
            <w:tcW w:w="20" w:type="dxa"/>
            <w:vAlign w:val="bottom"/>
          </w:tcPr>
          <w:p>
            <w:pPr>
              <w:spacing w:after="0"/>
              <w:rPr>
                <w:sz w:val="16"/>
                <w:szCs w:val="16"/>
                <w:color w:val="auto"/>
              </w:rPr>
            </w:pPr>
          </w:p>
        </w:tc>
        <w:tc>
          <w:tcPr>
            <w:tcW w:w="700" w:type="dxa"/>
            <w:vAlign w:val="bottom"/>
            <w:shd w:val="clear" w:color="auto" w:fill="9ADAF6"/>
          </w:tcPr>
          <w:p>
            <w:pPr>
              <w:jc w:val="center"/>
              <w:spacing w:after="0" w:line="192" w:lineRule="exact"/>
              <w:rPr>
                <w:sz w:val="20"/>
                <w:szCs w:val="20"/>
                <w:color w:val="auto"/>
              </w:rPr>
            </w:pPr>
            <w:r>
              <w:rPr>
                <w:rFonts w:ascii="Arial" w:cs="Arial" w:eastAsia="Arial" w:hAnsi="Arial"/>
                <w:sz w:val="17"/>
                <w:szCs w:val="17"/>
                <w:b w:val="1"/>
                <w:bCs w:val="1"/>
                <w:color w:val="auto"/>
                <w:w w:val="98"/>
              </w:rPr>
              <w:t>Form</w:t>
            </w:r>
          </w:p>
        </w:tc>
        <w:tc>
          <w:tcPr>
            <w:tcW w:w="20" w:type="dxa"/>
            <w:vAlign w:val="bottom"/>
          </w:tcPr>
          <w:p>
            <w:pPr>
              <w:spacing w:after="0"/>
              <w:rPr>
                <w:sz w:val="16"/>
                <w:szCs w:val="16"/>
                <w:color w:val="auto"/>
              </w:rPr>
            </w:pPr>
          </w:p>
        </w:tc>
        <w:tc>
          <w:tcPr>
            <w:tcW w:w="700" w:type="dxa"/>
            <w:vAlign w:val="bottom"/>
            <w:shd w:val="clear" w:color="auto" w:fill="9ADAF6"/>
          </w:tcPr>
          <w:p>
            <w:pPr>
              <w:jc w:val="center"/>
              <w:spacing w:after="0" w:line="192" w:lineRule="exact"/>
              <w:rPr>
                <w:sz w:val="20"/>
                <w:szCs w:val="20"/>
                <w:color w:val="auto"/>
              </w:rPr>
            </w:pPr>
            <w:r>
              <w:rPr>
                <w:rFonts w:ascii="Arial" w:cs="Arial" w:eastAsia="Arial" w:hAnsi="Arial"/>
                <w:sz w:val="17"/>
                <w:szCs w:val="17"/>
                <w:b w:val="1"/>
                <w:bCs w:val="1"/>
                <w:color w:val="auto"/>
              </w:rPr>
              <w:t>File</w:t>
            </w:r>
          </w:p>
        </w:tc>
        <w:tc>
          <w:tcPr>
            <w:tcW w:w="20" w:type="dxa"/>
            <w:vAlign w:val="bottom"/>
          </w:tcPr>
          <w:p>
            <w:pPr>
              <w:spacing w:after="0"/>
              <w:rPr>
                <w:sz w:val="16"/>
                <w:szCs w:val="16"/>
                <w:color w:val="auto"/>
              </w:rPr>
            </w:pPr>
          </w:p>
        </w:tc>
        <w:tc>
          <w:tcPr>
            <w:tcW w:w="740" w:type="dxa"/>
            <w:vAlign w:val="bottom"/>
            <w:shd w:val="clear" w:color="auto" w:fill="9ADAF6"/>
          </w:tcPr>
          <w:p>
            <w:pPr>
              <w:jc w:val="center"/>
              <w:spacing w:after="0" w:line="192" w:lineRule="exact"/>
              <w:rPr>
                <w:sz w:val="20"/>
                <w:szCs w:val="20"/>
                <w:color w:val="auto"/>
              </w:rPr>
            </w:pPr>
            <w:r>
              <w:rPr>
                <w:rFonts w:ascii="Arial" w:cs="Arial" w:eastAsia="Arial" w:hAnsi="Arial"/>
                <w:sz w:val="17"/>
                <w:szCs w:val="17"/>
                <w:b w:val="1"/>
                <w:bCs w:val="1"/>
                <w:color w:val="auto"/>
              </w:rPr>
              <w:t>Initial</w:t>
            </w:r>
          </w:p>
        </w:tc>
        <w:tc>
          <w:tcPr>
            <w:tcW w:w="20" w:type="dxa"/>
            <w:vAlign w:val="bottom"/>
          </w:tcPr>
          <w:p>
            <w:pPr>
              <w:spacing w:after="0"/>
              <w:rPr>
                <w:sz w:val="16"/>
                <w:szCs w:val="16"/>
                <w:color w:val="auto"/>
              </w:rPr>
            </w:pPr>
          </w:p>
        </w:tc>
        <w:tc>
          <w:tcPr>
            <w:tcW w:w="960" w:type="dxa"/>
            <w:vAlign w:val="bottom"/>
            <w:shd w:val="clear" w:color="auto" w:fill="9ADAF6"/>
          </w:tcPr>
          <w:p>
            <w:pPr>
              <w:jc w:val="center"/>
              <w:spacing w:after="0" w:line="192" w:lineRule="exact"/>
              <w:rPr>
                <w:sz w:val="20"/>
                <w:szCs w:val="20"/>
                <w:color w:val="auto"/>
              </w:rPr>
            </w:pPr>
            <w:r>
              <w:rPr>
                <w:rFonts w:ascii="Arial" w:cs="Arial" w:eastAsia="Arial" w:hAnsi="Arial"/>
                <w:sz w:val="17"/>
                <w:szCs w:val="17"/>
                <w:b w:val="1"/>
                <w:bCs w:val="1"/>
                <w:color w:val="auto"/>
              </w:rPr>
              <w:t>Unsold</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shd w:val="clear" w:color="auto" w:fill="9ADAF6"/>
          </w:tcPr>
          <w:p>
            <w:pPr>
              <w:jc w:val="center"/>
              <w:spacing w:after="0" w:line="192" w:lineRule="exact"/>
              <w:rPr>
                <w:sz w:val="20"/>
                <w:szCs w:val="20"/>
                <w:color w:val="auto"/>
              </w:rPr>
            </w:pPr>
            <w:r>
              <w:rPr>
                <w:rFonts w:ascii="Arial" w:cs="Arial" w:eastAsia="Arial" w:hAnsi="Arial"/>
                <w:sz w:val="17"/>
                <w:szCs w:val="17"/>
                <w:b w:val="1"/>
                <w:bCs w:val="1"/>
                <w:color w:val="auto"/>
              </w:rPr>
              <w:t>Forward</w:t>
            </w:r>
          </w:p>
        </w:tc>
        <w:tc>
          <w:tcPr>
            <w:tcW w:w="20" w:type="dxa"/>
            <w:vAlign w:val="bottom"/>
          </w:tcPr>
          <w:p>
            <w:pPr>
              <w:spacing w:after="0"/>
              <w:rPr>
                <w:sz w:val="16"/>
                <w:szCs w:val="16"/>
                <w:color w:val="auto"/>
              </w:rPr>
            </w:pPr>
          </w:p>
        </w:tc>
        <w:tc>
          <w:tcPr>
            <w:tcW w:w="9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9ADAF6"/>
          </w:tcPr>
          <w:p>
            <w:pPr>
              <w:jc w:val="center"/>
              <w:spacing w:after="0" w:line="192" w:lineRule="exact"/>
              <w:rPr>
                <w:sz w:val="20"/>
                <w:szCs w:val="20"/>
                <w:color w:val="auto"/>
              </w:rPr>
            </w:pPr>
            <w:r>
              <w:rPr>
                <w:rFonts w:ascii="Arial" w:cs="Arial" w:eastAsia="Arial" w:hAnsi="Arial"/>
                <w:sz w:val="17"/>
                <w:szCs w:val="17"/>
                <w:b w:val="1"/>
                <w:bCs w:val="1"/>
                <w:color w:val="auto"/>
              </w:rPr>
              <w:t>Price Per</w:t>
            </w:r>
          </w:p>
        </w:tc>
        <w:tc>
          <w:tcPr>
            <w:tcW w:w="20" w:type="dxa"/>
            <w:vAlign w:val="bottom"/>
          </w:tcPr>
          <w:p>
            <w:pPr>
              <w:spacing w:after="0"/>
              <w:rPr>
                <w:sz w:val="16"/>
                <w:szCs w:val="16"/>
                <w:color w:val="auto"/>
              </w:rPr>
            </w:pPr>
          </w:p>
        </w:tc>
        <w:tc>
          <w:tcPr>
            <w:tcW w:w="880" w:type="dxa"/>
            <w:vAlign w:val="bottom"/>
            <w:shd w:val="clear" w:color="auto" w:fill="9ADAF6"/>
          </w:tcPr>
          <w:p>
            <w:pPr>
              <w:jc w:val="center"/>
              <w:spacing w:after="0" w:line="192" w:lineRule="exact"/>
              <w:rPr>
                <w:sz w:val="20"/>
                <w:szCs w:val="20"/>
                <w:color w:val="auto"/>
              </w:rPr>
            </w:pPr>
            <w:r>
              <w:rPr>
                <w:rFonts w:ascii="Arial" w:cs="Arial" w:eastAsia="Arial" w:hAnsi="Arial"/>
                <w:sz w:val="17"/>
                <w:szCs w:val="17"/>
                <w:b w:val="1"/>
                <w:bCs w:val="1"/>
                <w:color w:val="auto"/>
              </w:rPr>
              <w:t>Price</w:t>
            </w:r>
          </w:p>
        </w:tc>
        <w:tc>
          <w:tcPr>
            <w:tcW w:w="20" w:type="dxa"/>
            <w:vAlign w:val="bottom"/>
          </w:tcPr>
          <w:p>
            <w:pPr>
              <w:spacing w:after="0"/>
              <w:rPr>
                <w:sz w:val="16"/>
                <w:szCs w:val="16"/>
                <w:color w:val="auto"/>
              </w:rPr>
            </w:pPr>
          </w:p>
        </w:tc>
        <w:tc>
          <w:tcPr>
            <w:tcW w:w="8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9ADAF6"/>
          </w:tcPr>
          <w:p>
            <w:pPr>
              <w:jc w:val="center"/>
              <w:spacing w:after="0" w:line="192" w:lineRule="exact"/>
              <w:rPr>
                <w:sz w:val="20"/>
                <w:szCs w:val="20"/>
                <w:color w:val="auto"/>
              </w:rPr>
            </w:pPr>
            <w:r>
              <w:rPr>
                <w:rFonts w:ascii="Arial" w:cs="Arial" w:eastAsia="Arial" w:hAnsi="Arial"/>
                <w:sz w:val="17"/>
                <w:szCs w:val="17"/>
                <w:b w:val="1"/>
                <w:bCs w:val="1"/>
                <w:color w:val="auto"/>
              </w:rPr>
              <w:t>Fee</w:t>
            </w:r>
          </w:p>
        </w:tc>
        <w:tc>
          <w:tcPr>
            <w:tcW w:w="20" w:type="dxa"/>
            <w:vAlign w:val="bottom"/>
          </w:tcPr>
          <w:p>
            <w:pPr>
              <w:spacing w:after="0"/>
              <w:rPr>
                <w:sz w:val="16"/>
                <w:szCs w:val="16"/>
                <w:color w:val="auto"/>
              </w:rPr>
            </w:pPr>
          </w:p>
        </w:tc>
        <w:tc>
          <w:tcPr>
            <w:tcW w:w="700" w:type="dxa"/>
            <w:vAlign w:val="bottom"/>
            <w:shd w:val="clear" w:color="auto" w:fill="9ADAF6"/>
          </w:tcPr>
          <w:p>
            <w:pPr>
              <w:jc w:val="center"/>
              <w:spacing w:after="0" w:line="192" w:lineRule="exact"/>
              <w:rPr>
                <w:sz w:val="20"/>
                <w:szCs w:val="20"/>
                <w:color w:val="auto"/>
              </w:rPr>
            </w:pPr>
            <w:r>
              <w:rPr>
                <w:rFonts w:ascii="Arial" w:cs="Arial" w:eastAsia="Arial" w:hAnsi="Arial"/>
                <w:sz w:val="17"/>
                <w:szCs w:val="17"/>
                <w:b w:val="1"/>
                <w:bCs w:val="1"/>
                <w:color w:val="auto"/>
                <w:w w:val="95"/>
              </w:rPr>
              <w:t>Type</w:t>
            </w:r>
          </w:p>
        </w:tc>
        <w:tc>
          <w:tcPr>
            <w:tcW w:w="20" w:type="dxa"/>
            <w:vAlign w:val="bottom"/>
          </w:tcPr>
          <w:p>
            <w:pPr>
              <w:spacing w:after="0"/>
              <w:rPr>
                <w:sz w:val="16"/>
                <w:szCs w:val="16"/>
                <w:color w:val="auto"/>
              </w:rPr>
            </w:pPr>
          </w:p>
        </w:tc>
        <w:tc>
          <w:tcPr>
            <w:tcW w:w="700" w:type="dxa"/>
            <w:vAlign w:val="bottom"/>
            <w:shd w:val="clear" w:color="auto" w:fill="9ADAF6"/>
          </w:tcPr>
          <w:p>
            <w:pPr>
              <w:jc w:val="center"/>
              <w:spacing w:after="0" w:line="192" w:lineRule="exact"/>
              <w:rPr>
                <w:sz w:val="20"/>
                <w:szCs w:val="20"/>
                <w:color w:val="auto"/>
              </w:rPr>
            </w:pPr>
            <w:r>
              <w:rPr>
                <w:rFonts w:ascii="Arial" w:cs="Arial" w:eastAsia="Arial" w:hAnsi="Arial"/>
                <w:sz w:val="17"/>
                <w:szCs w:val="17"/>
                <w:b w:val="1"/>
                <w:bCs w:val="1"/>
                <w:color w:val="auto"/>
              </w:rPr>
              <w:t>Number</w:t>
            </w:r>
          </w:p>
        </w:tc>
        <w:tc>
          <w:tcPr>
            <w:tcW w:w="20" w:type="dxa"/>
            <w:vAlign w:val="bottom"/>
          </w:tcPr>
          <w:p>
            <w:pPr>
              <w:spacing w:after="0"/>
              <w:rPr>
                <w:sz w:val="16"/>
                <w:szCs w:val="16"/>
                <w:color w:val="auto"/>
              </w:rPr>
            </w:pPr>
          </w:p>
        </w:tc>
        <w:tc>
          <w:tcPr>
            <w:tcW w:w="740" w:type="dxa"/>
            <w:vAlign w:val="bottom"/>
            <w:shd w:val="clear" w:color="auto" w:fill="9ADAF6"/>
          </w:tcPr>
          <w:p>
            <w:pPr>
              <w:jc w:val="center"/>
              <w:spacing w:after="0" w:line="192" w:lineRule="exact"/>
              <w:rPr>
                <w:sz w:val="20"/>
                <w:szCs w:val="20"/>
                <w:color w:val="auto"/>
              </w:rPr>
            </w:pPr>
            <w:r>
              <w:rPr>
                <w:rFonts w:ascii="Arial" w:cs="Arial" w:eastAsia="Arial" w:hAnsi="Arial"/>
                <w:sz w:val="17"/>
                <w:szCs w:val="17"/>
                <w:b w:val="1"/>
                <w:bCs w:val="1"/>
                <w:color w:val="auto"/>
                <w:w w:val="98"/>
              </w:rPr>
              <w:t>Effective</w:t>
            </w:r>
          </w:p>
        </w:tc>
        <w:tc>
          <w:tcPr>
            <w:tcW w:w="20" w:type="dxa"/>
            <w:vAlign w:val="bottom"/>
          </w:tcPr>
          <w:p>
            <w:pPr>
              <w:spacing w:after="0"/>
              <w:rPr>
                <w:sz w:val="16"/>
                <w:szCs w:val="16"/>
                <w:color w:val="auto"/>
              </w:rPr>
            </w:pPr>
          </w:p>
        </w:tc>
        <w:tc>
          <w:tcPr>
            <w:tcW w:w="960" w:type="dxa"/>
            <w:vAlign w:val="bottom"/>
            <w:shd w:val="clear" w:color="auto" w:fill="9ADAF6"/>
          </w:tcPr>
          <w:p>
            <w:pPr>
              <w:jc w:val="center"/>
              <w:spacing w:after="0" w:line="192" w:lineRule="exact"/>
              <w:rPr>
                <w:sz w:val="20"/>
                <w:szCs w:val="20"/>
                <w:color w:val="auto"/>
              </w:rPr>
            </w:pPr>
            <w:r>
              <w:rPr>
                <w:rFonts w:ascii="Arial" w:cs="Arial" w:eastAsia="Arial" w:hAnsi="Arial"/>
                <w:sz w:val="17"/>
                <w:szCs w:val="17"/>
                <w:b w:val="1"/>
                <w:bCs w:val="1"/>
                <w:color w:val="auto"/>
                <w:w w:val="98"/>
              </w:rPr>
              <w:t>Securities</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shd w:val="clear" w:color="auto" w:fill="9ADAF6"/>
          </w:tcPr>
          <w:p>
            <w:pPr>
              <w:jc w:val="center"/>
              <w:spacing w:after="0" w:line="192" w:lineRule="exact"/>
              <w:rPr>
                <w:sz w:val="20"/>
                <w:szCs w:val="20"/>
                <w:color w:val="auto"/>
              </w:rPr>
            </w:pPr>
            <w:r>
              <w:rPr>
                <w:rFonts w:ascii="Arial" w:cs="Arial" w:eastAsia="Arial" w:hAnsi="Arial"/>
                <w:sz w:val="17"/>
                <w:szCs w:val="17"/>
                <w:b w:val="1"/>
                <w:bCs w:val="1"/>
                <w:color w:val="auto"/>
                <w:w w:val="97"/>
              </w:rPr>
              <w:t>Rule</w:t>
            </w:r>
          </w:p>
        </w:tc>
        <w:tc>
          <w:tcPr>
            <w:tcW w:w="20" w:type="dxa"/>
            <w:vAlign w:val="bottom"/>
          </w:tcPr>
          <w:p>
            <w:pPr>
              <w:spacing w:after="0"/>
              <w:rPr>
                <w:sz w:val="16"/>
                <w:szCs w:val="16"/>
                <w:color w:val="auto"/>
              </w:rPr>
            </w:pPr>
          </w:p>
        </w:tc>
        <w:tc>
          <w:tcPr>
            <w:tcW w:w="9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9ADAF6"/>
          </w:tcPr>
          <w:p>
            <w:pPr>
              <w:jc w:val="center"/>
              <w:spacing w:after="0" w:line="192" w:lineRule="exact"/>
              <w:rPr>
                <w:sz w:val="20"/>
                <w:szCs w:val="20"/>
                <w:color w:val="auto"/>
              </w:rPr>
            </w:pPr>
            <w:r>
              <w:rPr>
                <w:rFonts w:ascii="Arial" w:cs="Arial" w:eastAsia="Arial" w:hAnsi="Arial"/>
                <w:sz w:val="17"/>
                <w:szCs w:val="17"/>
                <w:b w:val="1"/>
                <w:bCs w:val="1"/>
                <w:color w:val="auto"/>
                <w:w w:val="96"/>
              </w:rPr>
              <w:t>Unit</w:t>
            </w:r>
          </w:p>
        </w:tc>
        <w:tc>
          <w:tcPr>
            <w:tcW w:w="20" w:type="dxa"/>
            <w:vAlign w:val="bottom"/>
          </w:tcPr>
          <w:p>
            <w:pPr>
              <w:spacing w:after="0"/>
              <w:rPr>
                <w:sz w:val="16"/>
                <w:szCs w:val="16"/>
                <w:color w:val="auto"/>
              </w:rPr>
            </w:pPr>
          </w:p>
        </w:tc>
        <w:tc>
          <w:tcPr>
            <w:tcW w:w="8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9ADAF6"/>
          </w:tcPr>
          <w:p>
            <w:pPr>
              <w:jc w:val="center"/>
              <w:spacing w:after="0" w:line="192" w:lineRule="exact"/>
              <w:rPr>
                <w:sz w:val="20"/>
                <w:szCs w:val="20"/>
                <w:color w:val="auto"/>
              </w:rPr>
            </w:pPr>
            <w:r>
              <w:rPr>
                <w:rFonts w:ascii="Arial" w:cs="Arial" w:eastAsia="Arial" w:hAnsi="Arial"/>
                <w:sz w:val="17"/>
                <w:szCs w:val="17"/>
                <w:b w:val="1"/>
                <w:bCs w:val="1"/>
                <w:color w:val="auto"/>
              </w:rPr>
              <w:t>Date</w:t>
            </w:r>
          </w:p>
        </w:tc>
        <w:tc>
          <w:tcPr>
            <w:tcW w:w="20" w:type="dxa"/>
            <w:vAlign w:val="bottom"/>
          </w:tcPr>
          <w:p>
            <w:pPr>
              <w:spacing w:after="0"/>
              <w:rPr>
                <w:sz w:val="16"/>
                <w:szCs w:val="16"/>
                <w:color w:val="auto"/>
              </w:rPr>
            </w:pPr>
          </w:p>
        </w:tc>
        <w:tc>
          <w:tcPr>
            <w:tcW w:w="96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8"/>
              </w:rPr>
              <w:t>to be</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80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vMerge w:val="continue"/>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40" w:type="dxa"/>
            <w:vAlign w:val="bottom"/>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shd w:val="clear" w:color="auto" w:fill="9ADAF6"/>
          </w:tcPr>
          <w:p>
            <w:pPr>
              <w:jc w:val="center"/>
              <w:spacing w:after="0" w:line="192" w:lineRule="exact"/>
              <w:rPr>
                <w:sz w:val="20"/>
                <w:szCs w:val="20"/>
                <w:color w:val="auto"/>
              </w:rPr>
            </w:pPr>
            <w:r>
              <w:rPr>
                <w:rFonts w:ascii="Arial" w:cs="Arial" w:eastAsia="Arial" w:hAnsi="Arial"/>
                <w:sz w:val="17"/>
                <w:szCs w:val="17"/>
                <w:b w:val="1"/>
                <w:bCs w:val="1"/>
                <w:color w:val="auto"/>
              </w:rPr>
              <w:t>Carried</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8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88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84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0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shd w:val="clear" w:color="auto" w:fill="9ADAF6"/>
          </w:tcPr>
          <w:p>
            <w:pPr>
              <w:jc w:val="center"/>
              <w:spacing w:after="0"/>
              <w:rPr>
                <w:sz w:val="20"/>
                <w:szCs w:val="20"/>
                <w:color w:val="auto"/>
              </w:rPr>
            </w:pPr>
            <w:r>
              <w:rPr>
                <w:rFonts w:ascii="Arial" w:cs="Arial" w:eastAsia="Arial" w:hAnsi="Arial"/>
                <w:sz w:val="17"/>
                <w:szCs w:val="17"/>
                <w:b w:val="1"/>
                <w:bCs w:val="1"/>
                <w:color w:val="auto"/>
              </w:rPr>
              <w:t>Forward</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9"/>
        </w:trPr>
        <w:tc>
          <w:tcPr>
            <w:tcW w:w="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620" w:type="dxa"/>
            <w:vAlign w:val="bottom"/>
            <w:gridSpan w:val="8"/>
          </w:tcPr>
          <w:p>
            <w:pPr>
              <w:spacing w:after="0"/>
              <w:rPr>
                <w:sz w:val="20"/>
                <w:szCs w:val="20"/>
                <w:color w:val="auto"/>
              </w:rPr>
            </w:pPr>
            <w:r>
              <w:rPr>
                <w:rFonts w:ascii="Arial" w:cs="Arial" w:eastAsia="Arial" w:hAnsi="Arial"/>
                <w:sz w:val="17"/>
                <w:szCs w:val="17"/>
                <w:b w:val="1"/>
                <w:bCs w:val="1"/>
                <w:color w:val="auto"/>
              </w:rPr>
              <w:t>Newly Registered Securities</w:t>
            </w:r>
          </w:p>
        </w:tc>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E7E7E2"/>
          </w:tcPr>
          <w:p>
            <w:pPr>
              <w:ind w:left="20"/>
              <w:spacing w:after="0" w:line="187" w:lineRule="exact"/>
              <w:rPr>
                <w:sz w:val="20"/>
                <w:szCs w:val="20"/>
                <w:color w:val="auto"/>
              </w:rPr>
            </w:pPr>
            <w:r>
              <w:rPr>
                <w:rFonts w:ascii="Arial" w:cs="Arial" w:eastAsia="Arial" w:hAnsi="Arial"/>
                <w:sz w:val="17"/>
                <w:szCs w:val="17"/>
                <w:color w:val="auto"/>
              </w:rPr>
              <w:t>Debt</w:t>
            </w:r>
          </w:p>
        </w:tc>
        <w:tc>
          <w:tcPr>
            <w:tcW w:w="20" w:type="dxa"/>
            <w:vAlign w:val="bottom"/>
          </w:tcPr>
          <w:p>
            <w:pPr>
              <w:spacing w:after="0"/>
              <w:rPr>
                <w:sz w:val="16"/>
                <w:szCs w:val="16"/>
                <w:color w:val="auto"/>
              </w:rPr>
            </w:pPr>
          </w:p>
        </w:tc>
        <w:tc>
          <w:tcPr>
            <w:tcW w:w="9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800" w:type="dxa"/>
            <w:vAlign w:val="bottom"/>
            <w:vMerge w:val="restart"/>
            <w:shd w:val="clear" w:color="auto" w:fill="E7E7E2"/>
          </w:tcPr>
          <w:p>
            <w:pPr>
              <w:spacing w:after="0"/>
              <w:rPr>
                <w:sz w:val="20"/>
                <w:szCs w:val="20"/>
                <w:color w:val="auto"/>
              </w:rPr>
            </w:pPr>
            <w:r>
              <w:rPr>
                <w:rFonts w:ascii="Arial" w:cs="Arial" w:eastAsia="Arial" w:hAnsi="Arial"/>
                <w:sz w:val="17"/>
                <w:szCs w:val="17"/>
                <w:color w:val="auto"/>
              </w:rPr>
              <w:t>Fees to</w:t>
            </w: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E7E7E2"/>
          </w:tcPr>
          <w:p>
            <w:pPr>
              <w:ind w:left="20"/>
              <w:spacing w:after="0" w:line="192" w:lineRule="exact"/>
              <w:rPr>
                <w:sz w:val="20"/>
                <w:szCs w:val="20"/>
                <w:color w:val="auto"/>
              </w:rPr>
            </w:pPr>
            <w:r>
              <w:rPr>
                <w:rFonts w:ascii="Arial" w:cs="Arial" w:eastAsia="Arial" w:hAnsi="Arial"/>
                <w:sz w:val="17"/>
                <w:szCs w:val="17"/>
                <w:color w:val="auto"/>
              </w:rPr>
              <w:t>Securities</w:t>
            </w:r>
          </w:p>
        </w:tc>
        <w:tc>
          <w:tcPr>
            <w:tcW w:w="20" w:type="dxa"/>
            <w:vAlign w:val="bottom"/>
          </w:tcPr>
          <w:p>
            <w:pPr>
              <w:spacing w:after="0"/>
              <w:rPr>
                <w:sz w:val="16"/>
                <w:szCs w:val="16"/>
                <w:color w:val="auto"/>
              </w:rPr>
            </w:pPr>
          </w:p>
        </w:tc>
        <w:tc>
          <w:tcPr>
            <w:tcW w:w="9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80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vMerge w:val="restart"/>
            <w:shd w:val="clear" w:color="auto" w:fill="E7E7E2"/>
          </w:tcPr>
          <w:p>
            <w:pPr>
              <w:jc w:val="right"/>
              <w:spacing w:after="0" w:line="192" w:lineRule="exact"/>
              <w:rPr>
                <w:sz w:val="20"/>
                <w:szCs w:val="20"/>
                <w:color w:val="auto"/>
              </w:rPr>
            </w:pPr>
            <w:r>
              <w:rPr>
                <w:rFonts w:ascii="Arial" w:cs="Arial" w:eastAsia="Arial" w:hAnsi="Arial"/>
                <w:sz w:val="17"/>
                <w:szCs w:val="17"/>
                <w:color w:val="auto"/>
              </w:rPr>
              <w:t>1</w:t>
            </w:r>
          </w:p>
        </w:tc>
        <w:tc>
          <w:tcPr>
            <w:tcW w:w="20" w:type="dxa"/>
            <w:vAlign w:val="bottom"/>
          </w:tcPr>
          <w:p>
            <w:pPr>
              <w:spacing w:after="0"/>
              <w:rPr>
                <w:sz w:val="8"/>
                <w:szCs w:val="8"/>
                <w:color w:val="auto"/>
              </w:rPr>
            </w:pPr>
          </w:p>
        </w:tc>
        <w:tc>
          <w:tcPr>
            <w:tcW w:w="700" w:type="dxa"/>
            <w:vAlign w:val="bottom"/>
            <w:vMerge w:val="restart"/>
            <w:shd w:val="clear" w:color="auto" w:fill="E7E7E2"/>
          </w:tcPr>
          <w:p>
            <w:pPr>
              <w:ind w:left="20"/>
              <w:spacing w:after="0" w:line="192" w:lineRule="exact"/>
              <w:rPr>
                <w:sz w:val="20"/>
                <w:szCs w:val="20"/>
                <w:color w:val="auto"/>
              </w:rPr>
            </w:pPr>
            <w:r>
              <w:rPr>
                <w:rFonts w:ascii="Arial" w:cs="Arial" w:eastAsia="Arial" w:hAnsi="Arial"/>
                <w:sz w:val="17"/>
                <w:szCs w:val="17"/>
                <w:color w:val="auto"/>
              </w:rPr>
              <w:t>Debt</w:t>
            </w:r>
          </w:p>
        </w:tc>
        <w:tc>
          <w:tcPr>
            <w:tcW w:w="20" w:type="dxa"/>
            <w:vAlign w:val="bottom"/>
          </w:tcPr>
          <w:p>
            <w:pPr>
              <w:spacing w:after="0"/>
              <w:rPr>
                <w:sz w:val="8"/>
                <w:szCs w:val="8"/>
                <w:color w:val="auto"/>
              </w:rPr>
            </w:pPr>
          </w:p>
        </w:tc>
        <w:tc>
          <w:tcPr>
            <w:tcW w:w="920" w:type="dxa"/>
            <w:vAlign w:val="bottom"/>
            <w:vMerge w:val="restart"/>
            <w:shd w:val="clear" w:color="auto" w:fill="E7E7E2"/>
          </w:tcPr>
          <w:p>
            <w:pPr>
              <w:ind w:left="20"/>
              <w:spacing w:after="0" w:line="192" w:lineRule="exact"/>
              <w:rPr>
                <w:sz w:val="20"/>
                <w:szCs w:val="20"/>
                <w:color w:val="auto"/>
              </w:rPr>
            </w:pPr>
            <w:r>
              <w:rPr>
                <w:rFonts w:ascii="Arial" w:cs="Arial" w:eastAsia="Arial" w:hAnsi="Arial"/>
                <w:sz w:val="17"/>
                <w:szCs w:val="17"/>
                <w:color w:val="auto"/>
              </w:rPr>
              <w:t>of Cemex,</w:t>
            </w:r>
          </w:p>
        </w:tc>
        <w:tc>
          <w:tcPr>
            <w:tcW w:w="20" w:type="dxa"/>
            <w:vAlign w:val="bottom"/>
          </w:tcPr>
          <w:p>
            <w:pPr>
              <w:spacing w:after="0"/>
              <w:rPr>
                <w:sz w:val="8"/>
                <w:szCs w:val="8"/>
                <w:color w:val="auto"/>
              </w:rPr>
            </w:pPr>
          </w:p>
        </w:tc>
        <w:tc>
          <w:tcPr>
            <w:tcW w:w="960" w:type="dxa"/>
            <w:vAlign w:val="bottom"/>
            <w:vMerge w:val="restart"/>
            <w:shd w:val="clear" w:color="auto" w:fill="E7E7E2"/>
          </w:tcPr>
          <w:p>
            <w:pPr>
              <w:jc w:val="center"/>
              <w:spacing w:after="0" w:line="192" w:lineRule="exact"/>
              <w:rPr>
                <w:sz w:val="20"/>
                <w:szCs w:val="20"/>
                <w:color w:val="auto"/>
              </w:rPr>
            </w:pPr>
            <w:r>
              <w:rPr>
                <w:rFonts w:ascii="Arial" w:cs="Arial" w:eastAsia="Arial" w:hAnsi="Arial"/>
                <w:sz w:val="17"/>
                <w:szCs w:val="17"/>
                <w:color w:val="auto"/>
                <w:w w:val="96"/>
              </w:rPr>
              <w:t>457(r)</w:t>
            </w:r>
          </w:p>
        </w:tc>
        <w:tc>
          <w:tcPr>
            <w:tcW w:w="20" w:type="dxa"/>
            <w:vAlign w:val="bottom"/>
          </w:tcPr>
          <w:p>
            <w:pPr>
              <w:spacing w:after="0"/>
              <w:rPr>
                <w:sz w:val="8"/>
                <w:szCs w:val="8"/>
                <w:color w:val="auto"/>
              </w:rPr>
            </w:pPr>
          </w:p>
        </w:tc>
        <w:tc>
          <w:tcPr>
            <w:tcW w:w="9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8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40" w:type="dxa"/>
            <w:vAlign w:val="bottom"/>
            <w:vMerge w:val="restart"/>
            <w:shd w:val="clear" w:color="auto" w:fill="E7E7E2"/>
          </w:tcPr>
          <w:p>
            <w:pPr>
              <w:jc w:val="center"/>
              <w:spacing w:after="0" w:line="192" w:lineRule="exact"/>
              <w:rPr>
                <w:sz w:val="20"/>
                <w:szCs w:val="20"/>
                <w:color w:val="auto"/>
              </w:rPr>
            </w:pPr>
            <w:r>
              <w:rPr>
                <w:rFonts w:ascii="Arial" w:cs="Arial" w:eastAsia="Arial" w:hAnsi="Arial"/>
                <w:sz w:val="17"/>
                <w:szCs w:val="17"/>
                <w:color w:val="auto"/>
                <w:w w:val="99"/>
              </w:rPr>
              <w:t>0.0001381</w:t>
            </w:r>
          </w:p>
        </w:tc>
        <w:tc>
          <w:tcPr>
            <w:tcW w:w="20" w:type="dxa"/>
            <w:vAlign w:val="bottom"/>
          </w:tcPr>
          <w:p>
            <w:pPr>
              <w:spacing w:after="0"/>
              <w:rPr>
                <w:sz w:val="8"/>
                <w:szCs w:val="8"/>
                <w:color w:val="auto"/>
              </w:rPr>
            </w:pPr>
          </w:p>
        </w:tc>
        <w:tc>
          <w:tcPr>
            <w:tcW w:w="10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4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6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800" w:type="dxa"/>
            <w:vAlign w:val="bottom"/>
            <w:vMerge w:val="restart"/>
            <w:shd w:val="clear" w:color="auto" w:fill="E7E7E2"/>
          </w:tcPr>
          <w:p>
            <w:pPr>
              <w:spacing w:after="0"/>
              <w:rPr>
                <w:sz w:val="20"/>
                <w:szCs w:val="20"/>
                <w:color w:val="auto"/>
              </w:rPr>
            </w:pPr>
            <w:r>
              <w:rPr>
                <w:rFonts w:ascii="Arial" w:cs="Arial" w:eastAsia="Arial" w:hAnsi="Arial"/>
                <w:sz w:val="17"/>
                <w:szCs w:val="17"/>
                <w:color w:val="auto"/>
              </w:rPr>
              <w:t>be Paid</w:t>
            </w:r>
          </w:p>
        </w:tc>
        <w:tc>
          <w:tcPr>
            <w:tcW w:w="20" w:type="dxa"/>
            <w:vAlign w:val="bottom"/>
          </w:tcPr>
          <w:p>
            <w:pPr>
              <w:spacing w:after="0"/>
              <w:rPr>
                <w:sz w:val="8"/>
                <w:szCs w:val="8"/>
                <w:color w:val="auto"/>
              </w:rPr>
            </w:pPr>
          </w:p>
        </w:tc>
        <w:tc>
          <w:tcPr>
            <w:tcW w:w="12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2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6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8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4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10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4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6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8"/>
        </w:trPr>
        <w:tc>
          <w:tcPr>
            <w:tcW w:w="40" w:type="dxa"/>
            <w:vAlign w:val="bottom"/>
          </w:tcPr>
          <w:p>
            <w:pPr>
              <w:spacing w:after="0"/>
              <w:rPr>
                <w:sz w:val="11"/>
                <w:szCs w:val="11"/>
                <w:color w:val="auto"/>
              </w:rPr>
            </w:pPr>
          </w:p>
        </w:tc>
        <w:tc>
          <w:tcPr>
            <w:tcW w:w="80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920" w:type="dxa"/>
            <w:vAlign w:val="bottom"/>
            <w:vMerge w:val="restart"/>
            <w:shd w:val="clear" w:color="auto" w:fill="E7E7E2"/>
          </w:tcPr>
          <w:p>
            <w:pPr>
              <w:ind w:left="20"/>
              <w:spacing w:after="0" w:line="192" w:lineRule="exact"/>
              <w:rPr>
                <w:sz w:val="20"/>
                <w:szCs w:val="20"/>
                <w:color w:val="auto"/>
              </w:rPr>
            </w:pPr>
            <w:r>
              <w:rPr>
                <w:rFonts w:ascii="Arial" w:cs="Arial" w:eastAsia="Arial" w:hAnsi="Arial"/>
                <w:sz w:val="17"/>
                <w:szCs w:val="17"/>
                <w:color w:val="auto"/>
              </w:rPr>
              <w:t>S.A.B. de</w:t>
            </w:r>
          </w:p>
        </w:tc>
        <w:tc>
          <w:tcPr>
            <w:tcW w:w="20" w:type="dxa"/>
            <w:vAlign w:val="bottom"/>
          </w:tcPr>
          <w:p>
            <w:pPr>
              <w:spacing w:after="0"/>
              <w:rPr>
                <w:sz w:val="11"/>
                <w:szCs w:val="11"/>
                <w:color w:val="auto"/>
              </w:rPr>
            </w:pPr>
          </w:p>
        </w:tc>
        <w:tc>
          <w:tcPr>
            <w:tcW w:w="96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90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88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84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102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96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3"/>
        </w:trPr>
        <w:tc>
          <w:tcPr>
            <w:tcW w:w="40" w:type="dxa"/>
            <w:vAlign w:val="bottom"/>
          </w:tcPr>
          <w:p>
            <w:pPr>
              <w:spacing w:after="0"/>
              <w:rPr>
                <w:sz w:val="5"/>
                <w:szCs w:val="5"/>
                <w:color w:val="auto"/>
              </w:rPr>
            </w:pPr>
          </w:p>
        </w:tc>
        <w:tc>
          <w:tcPr>
            <w:tcW w:w="80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70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920" w:type="dxa"/>
            <w:vAlign w:val="bottom"/>
            <w:vMerge w:val="continue"/>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96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90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80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88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84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102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70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70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74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96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8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shd w:val="clear" w:color="auto" w:fill="E7E7E2"/>
          </w:tcPr>
          <w:p>
            <w:pPr>
              <w:ind w:left="20"/>
              <w:spacing w:after="0"/>
              <w:rPr>
                <w:sz w:val="20"/>
                <w:szCs w:val="20"/>
                <w:color w:val="auto"/>
              </w:rPr>
            </w:pPr>
            <w:r>
              <w:rPr>
                <w:rFonts w:ascii="Arial" w:cs="Arial" w:eastAsia="Arial" w:hAnsi="Arial"/>
                <w:sz w:val="17"/>
                <w:szCs w:val="17"/>
                <w:color w:val="auto"/>
              </w:rPr>
              <w:t>C.V.</w:t>
            </w:r>
          </w:p>
        </w:tc>
        <w:tc>
          <w:tcPr>
            <w:tcW w:w="20" w:type="dxa"/>
            <w:vAlign w:val="bottom"/>
          </w:tcPr>
          <w:p>
            <w:pPr>
              <w:spacing w:after="0"/>
              <w:rPr>
                <w:sz w:val="19"/>
                <w:szCs w:val="19"/>
                <w:color w:val="auto"/>
              </w:rPr>
            </w:pPr>
          </w:p>
        </w:tc>
        <w:tc>
          <w:tcPr>
            <w:tcW w:w="9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0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40" w:type="dxa"/>
            <w:vAlign w:val="bottom"/>
          </w:tcPr>
          <w:p>
            <w:pPr>
              <w:spacing w:after="0"/>
              <w:rPr>
                <w:sz w:val="15"/>
                <w:szCs w:val="15"/>
                <w:color w:val="auto"/>
              </w:rPr>
            </w:pPr>
          </w:p>
        </w:tc>
        <w:tc>
          <w:tcPr>
            <w:tcW w:w="800" w:type="dxa"/>
            <w:vAlign w:val="bottom"/>
            <w:vMerge w:val="restart"/>
            <w:shd w:val="clear" w:color="auto" w:fill="E7E7E2"/>
          </w:tcPr>
          <w:p>
            <w:pPr>
              <w:spacing w:after="0"/>
              <w:rPr>
                <w:sz w:val="20"/>
                <w:szCs w:val="20"/>
                <w:color w:val="auto"/>
              </w:rPr>
            </w:pPr>
            <w:r>
              <w:rPr>
                <w:rFonts w:ascii="Arial" w:cs="Arial" w:eastAsia="Arial" w:hAnsi="Arial"/>
                <w:sz w:val="17"/>
                <w:szCs w:val="17"/>
                <w:color w:val="auto"/>
              </w:rPr>
              <w:t>Fees to</w:t>
            </w:r>
          </w:p>
        </w:tc>
        <w:tc>
          <w:tcPr>
            <w:tcW w:w="20" w:type="dxa"/>
            <w:vAlign w:val="bottom"/>
          </w:tcPr>
          <w:p>
            <w:pPr>
              <w:spacing w:after="0"/>
              <w:rPr>
                <w:sz w:val="15"/>
                <w:szCs w:val="15"/>
                <w:color w:val="auto"/>
              </w:rPr>
            </w:pPr>
          </w:p>
        </w:tc>
        <w:tc>
          <w:tcPr>
            <w:tcW w:w="1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shd w:val="clear" w:color="auto" w:fill="E7E7E2"/>
          </w:tcPr>
          <w:p>
            <w:pPr>
              <w:ind w:left="20"/>
              <w:spacing w:after="0" w:line="181" w:lineRule="exact"/>
              <w:rPr>
                <w:sz w:val="20"/>
                <w:szCs w:val="20"/>
                <w:color w:val="auto"/>
              </w:rPr>
            </w:pPr>
            <w:r>
              <w:rPr>
                <w:rFonts w:ascii="Arial" w:cs="Arial" w:eastAsia="Arial" w:hAnsi="Arial"/>
                <w:sz w:val="17"/>
                <w:szCs w:val="17"/>
                <w:color w:val="auto"/>
                <w:w w:val="99"/>
              </w:rPr>
              <w:t>Guarantees</w:t>
            </w:r>
          </w:p>
        </w:tc>
        <w:tc>
          <w:tcPr>
            <w:tcW w:w="20" w:type="dxa"/>
            <w:vAlign w:val="bottom"/>
          </w:tcPr>
          <w:p>
            <w:pPr>
              <w:spacing w:after="0"/>
              <w:rPr>
                <w:sz w:val="15"/>
                <w:szCs w:val="15"/>
                <w:color w:val="auto"/>
              </w:rPr>
            </w:pPr>
          </w:p>
        </w:tc>
        <w:tc>
          <w:tcPr>
            <w:tcW w:w="9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0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80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vMerge w:val="restart"/>
            <w:shd w:val="clear" w:color="auto" w:fill="E7E7E2"/>
          </w:tcPr>
          <w:p>
            <w:pPr>
              <w:jc w:val="right"/>
              <w:spacing w:after="0" w:line="192" w:lineRule="exact"/>
              <w:rPr>
                <w:sz w:val="20"/>
                <w:szCs w:val="20"/>
                <w:color w:val="auto"/>
              </w:rPr>
            </w:pPr>
            <w:r>
              <w:rPr>
                <w:rFonts w:ascii="Arial" w:cs="Arial" w:eastAsia="Arial" w:hAnsi="Arial"/>
                <w:sz w:val="17"/>
                <w:szCs w:val="17"/>
                <w:color w:val="auto"/>
              </w:rPr>
              <w:t>2</w:t>
            </w:r>
          </w:p>
        </w:tc>
        <w:tc>
          <w:tcPr>
            <w:tcW w:w="20" w:type="dxa"/>
            <w:vAlign w:val="bottom"/>
          </w:tcPr>
          <w:p>
            <w:pPr>
              <w:spacing w:after="0"/>
              <w:rPr>
                <w:sz w:val="8"/>
                <w:szCs w:val="8"/>
                <w:color w:val="auto"/>
              </w:rPr>
            </w:pPr>
          </w:p>
        </w:tc>
        <w:tc>
          <w:tcPr>
            <w:tcW w:w="700" w:type="dxa"/>
            <w:vAlign w:val="bottom"/>
            <w:vMerge w:val="restart"/>
            <w:shd w:val="clear" w:color="auto" w:fill="E7E7E2"/>
          </w:tcPr>
          <w:p>
            <w:pPr>
              <w:ind w:left="20"/>
              <w:spacing w:after="0" w:line="192" w:lineRule="exact"/>
              <w:rPr>
                <w:sz w:val="20"/>
                <w:szCs w:val="20"/>
                <w:color w:val="auto"/>
              </w:rPr>
            </w:pPr>
            <w:r>
              <w:rPr>
                <w:rFonts w:ascii="Arial" w:cs="Arial" w:eastAsia="Arial" w:hAnsi="Arial"/>
                <w:sz w:val="17"/>
                <w:szCs w:val="17"/>
                <w:color w:val="auto"/>
              </w:rPr>
              <w:t>Debt</w:t>
            </w:r>
          </w:p>
        </w:tc>
        <w:tc>
          <w:tcPr>
            <w:tcW w:w="20" w:type="dxa"/>
            <w:vAlign w:val="bottom"/>
          </w:tcPr>
          <w:p>
            <w:pPr>
              <w:spacing w:after="0"/>
              <w:rPr>
                <w:sz w:val="8"/>
                <w:szCs w:val="8"/>
                <w:color w:val="auto"/>
              </w:rPr>
            </w:pPr>
          </w:p>
        </w:tc>
        <w:tc>
          <w:tcPr>
            <w:tcW w:w="920" w:type="dxa"/>
            <w:vAlign w:val="bottom"/>
            <w:vMerge w:val="restart"/>
            <w:shd w:val="clear" w:color="auto" w:fill="E7E7E2"/>
          </w:tcPr>
          <w:p>
            <w:pPr>
              <w:ind w:left="20"/>
              <w:spacing w:after="0" w:line="192" w:lineRule="exact"/>
              <w:rPr>
                <w:sz w:val="20"/>
                <w:szCs w:val="20"/>
                <w:color w:val="auto"/>
              </w:rPr>
            </w:pPr>
            <w:r>
              <w:rPr>
                <w:rFonts w:ascii="Arial" w:cs="Arial" w:eastAsia="Arial" w:hAnsi="Arial"/>
                <w:sz w:val="17"/>
                <w:szCs w:val="17"/>
                <w:color w:val="auto"/>
              </w:rPr>
              <w:t>of Debt</w:t>
            </w:r>
          </w:p>
        </w:tc>
        <w:tc>
          <w:tcPr>
            <w:tcW w:w="20" w:type="dxa"/>
            <w:vAlign w:val="bottom"/>
          </w:tcPr>
          <w:p>
            <w:pPr>
              <w:spacing w:after="0"/>
              <w:rPr>
                <w:sz w:val="8"/>
                <w:szCs w:val="8"/>
                <w:color w:val="auto"/>
              </w:rPr>
            </w:pPr>
          </w:p>
        </w:tc>
        <w:tc>
          <w:tcPr>
            <w:tcW w:w="960" w:type="dxa"/>
            <w:vAlign w:val="bottom"/>
            <w:vMerge w:val="restart"/>
            <w:shd w:val="clear" w:color="auto" w:fill="E7E7E2"/>
          </w:tcPr>
          <w:p>
            <w:pPr>
              <w:jc w:val="center"/>
              <w:spacing w:after="0" w:line="192" w:lineRule="exact"/>
              <w:rPr>
                <w:sz w:val="20"/>
                <w:szCs w:val="20"/>
                <w:color w:val="auto"/>
              </w:rPr>
            </w:pPr>
            <w:r>
              <w:rPr>
                <w:rFonts w:ascii="Arial" w:cs="Arial" w:eastAsia="Arial" w:hAnsi="Arial"/>
                <w:sz w:val="17"/>
                <w:szCs w:val="17"/>
                <w:color w:val="auto"/>
                <w:w w:val="96"/>
              </w:rPr>
              <w:t>457(r)</w:t>
            </w:r>
          </w:p>
        </w:tc>
        <w:tc>
          <w:tcPr>
            <w:tcW w:w="20" w:type="dxa"/>
            <w:vAlign w:val="bottom"/>
          </w:tcPr>
          <w:p>
            <w:pPr>
              <w:spacing w:after="0"/>
              <w:rPr>
                <w:sz w:val="8"/>
                <w:szCs w:val="8"/>
                <w:color w:val="auto"/>
              </w:rPr>
            </w:pPr>
          </w:p>
        </w:tc>
        <w:tc>
          <w:tcPr>
            <w:tcW w:w="9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8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40" w:type="dxa"/>
            <w:vAlign w:val="bottom"/>
            <w:vMerge w:val="restart"/>
            <w:shd w:val="clear" w:color="auto" w:fill="E7E7E2"/>
          </w:tcPr>
          <w:p>
            <w:pPr>
              <w:jc w:val="center"/>
              <w:spacing w:after="0" w:line="192" w:lineRule="exact"/>
              <w:rPr>
                <w:sz w:val="20"/>
                <w:szCs w:val="20"/>
                <w:color w:val="auto"/>
              </w:rPr>
            </w:pPr>
            <w:r>
              <w:rPr>
                <w:rFonts w:ascii="Arial" w:cs="Arial" w:eastAsia="Arial" w:hAnsi="Arial"/>
                <w:sz w:val="17"/>
                <w:szCs w:val="17"/>
                <w:color w:val="auto"/>
                <w:w w:val="99"/>
              </w:rPr>
              <w:t>0.0001381</w:t>
            </w:r>
          </w:p>
        </w:tc>
        <w:tc>
          <w:tcPr>
            <w:tcW w:w="20" w:type="dxa"/>
            <w:vAlign w:val="bottom"/>
          </w:tcPr>
          <w:p>
            <w:pPr>
              <w:spacing w:after="0"/>
              <w:rPr>
                <w:sz w:val="8"/>
                <w:szCs w:val="8"/>
                <w:color w:val="auto"/>
              </w:rPr>
            </w:pPr>
          </w:p>
        </w:tc>
        <w:tc>
          <w:tcPr>
            <w:tcW w:w="10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4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6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800" w:type="dxa"/>
            <w:vAlign w:val="bottom"/>
            <w:vMerge w:val="restart"/>
            <w:shd w:val="clear" w:color="auto" w:fill="E7E7E2"/>
          </w:tcPr>
          <w:p>
            <w:pPr>
              <w:spacing w:after="0"/>
              <w:rPr>
                <w:sz w:val="20"/>
                <w:szCs w:val="20"/>
                <w:color w:val="auto"/>
              </w:rPr>
            </w:pPr>
            <w:r>
              <w:rPr>
                <w:rFonts w:ascii="Arial" w:cs="Arial" w:eastAsia="Arial" w:hAnsi="Arial"/>
                <w:sz w:val="17"/>
                <w:szCs w:val="17"/>
                <w:color w:val="auto"/>
              </w:rPr>
              <w:t>be Paid</w:t>
            </w:r>
          </w:p>
        </w:tc>
        <w:tc>
          <w:tcPr>
            <w:tcW w:w="20" w:type="dxa"/>
            <w:vAlign w:val="bottom"/>
          </w:tcPr>
          <w:p>
            <w:pPr>
              <w:spacing w:after="0"/>
              <w:rPr>
                <w:sz w:val="8"/>
                <w:szCs w:val="8"/>
                <w:color w:val="auto"/>
              </w:rPr>
            </w:pPr>
          </w:p>
        </w:tc>
        <w:tc>
          <w:tcPr>
            <w:tcW w:w="12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2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6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8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4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10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4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6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8"/>
        </w:trPr>
        <w:tc>
          <w:tcPr>
            <w:tcW w:w="40" w:type="dxa"/>
            <w:vAlign w:val="bottom"/>
          </w:tcPr>
          <w:p>
            <w:pPr>
              <w:spacing w:after="0"/>
              <w:rPr>
                <w:sz w:val="11"/>
                <w:szCs w:val="11"/>
                <w:color w:val="auto"/>
              </w:rPr>
            </w:pPr>
          </w:p>
        </w:tc>
        <w:tc>
          <w:tcPr>
            <w:tcW w:w="80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920" w:type="dxa"/>
            <w:vAlign w:val="bottom"/>
            <w:vMerge w:val="restart"/>
            <w:shd w:val="clear" w:color="auto" w:fill="E7E7E2"/>
          </w:tcPr>
          <w:p>
            <w:pPr>
              <w:ind w:left="20"/>
              <w:spacing w:after="0"/>
              <w:rPr>
                <w:sz w:val="20"/>
                <w:szCs w:val="20"/>
                <w:color w:val="auto"/>
              </w:rPr>
            </w:pPr>
            <w:r>
              <w:rPr>
                <w:rFonts w:ascii="Arial" w:cs="Arial" w:eastAsia="Arial" w:hAnsi="Arial"/>
                <w:sz w:val="17"/>
                <w:szCs w:val="17"/>
                <w:color w:val="auto"/>
              </w:rPr>
              <w:t>Securities</w:t>
            </w:r>
          </w:p>
        </w:tc>
        <w:tc>
          <w:tcPr>
            <w:tcW w:w="20" w:type="dxa"/>
            <w:vAlign w:val="bottom"/>
          </w:tcPr>
          <w:p>
            <w:pPr>
              <w:spacing w:after="0"/>
              <w:rPr>
                <w:sz w:val="11"/>
                <w:szCs w:val="11"/>
                <w:color w:val="auto"/>
              </w:rPr>
            </w:pPr>
          </w:p>
        </w:tc>
        <w:tc>
          <w:tcPr>
            <w:tcW w:w="96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90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88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84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102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96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40" w:type="dxa"/>
            <w:vAlign w:val="bottom"/>
          </w:tcPr>
          <w:p>
            <w:pPr>
              <w:spacing w:after="0"/>
              <w:rPr>
                <w:sz w:val="8"/>
                <w:szCs w:val="8"/>
                <w:color w:val="auto"/>
              </w:rPr>
            </w:pPr>
          </w:p>
        </w:tc>
        <w:tc>
          <w:tcPr>
            <w:tcW w:w="8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2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6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8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4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10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4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6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-2427605</wp:posOffset>
            </wp:positionV>
            <wp:extent cx="7213600" cy="397827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4">
                      <a:extLst>
                        <a:ext uri="{28A0092B-C50C-407E-A947-70E740481C1C}"/>
                      </a:extLst>
                    </a:blip>
                    <a:srcRect/>
                    <a:stretch>
                      <a:fillRect/>
                    </a:stretch>
                  </pic:blipFill>
                  <pic:spPr bwMode="auto">
                    <a:xfrm>
                      <a:off x="0" y="0"/>
                      <a:ext cx="7213600" cy="3978275"/>
                    </a:xfrm>
                    <a:prstGeom prst="rect">
                      <a:avLst/>
                    </a:prstGeom>
                    <a:noFill/>
                  </pic:spPr>
                </pic:pic>
              </a:graphicData>
            </a:graphic>
          </wp:anchor>
        </w:drawing>
      </w:r>
    </w:p>
    <w:p>
      <w:pPr>
        <w:ind w:left="40"/>
        <w:spacing w:after="0"/>
        <w:rPr>
          <w:sz w:val="20"/>
          <w:szCs w:val="20"/>
          <w:color w:val="auto"/>
        </w:rPr>
      </w:pPr>
      <w:r>
        <w:rPr>
          <w:rFonts w:ascii="Arial" w:cs="Arial" w:eastAsia="Arial" w:hAnsi="Arial"/>
          <w:sz w:val="17"/>
          <w:szCs w:val="17"/>
          <w:color w:val="auto"/>
        </w:rPr>
        <w:t>Fees</w:t>
      </w:r>
    </w:p>
    <w:p>
      <w:pPr>
        <w:spacing w:after="0" w:line="8" w:lineRule="exact"/>
        <w:rPr>
          <w:sz w:val="20"/>
          <w:szCs w:val="20"/>
          <w:color w:val="auto"/>
        </w:rPr>
      </w:pPr>
    </w:p>
    <w:p>
      <w:pPr>
        <w:ind w:left="40"/>
        <w:spacing w:after="0"/>
        <w:rPr>
          <w:sz w:val="20"/>
          <w:szCs w:val="20"/>
          <w:color w:val="auto"/>
        </w:rPr>
      </w:pPr>
      <w:r>
        <w:rPr>
          <w:rFonts w:ascii="Arial" w:cs="Arial" w:eastAsia="Arial" w:hAnsi="Arial"/>
          <w:sz w:val="17"/>
          <w:szCs w:val="17"/>
          <w:color w:val="auto"/>
        </w:rPr>
        <w:t>Previously</w:t>
      </w:r>
    </w:p>
    <w:p>
      <w:pPr>
        <w:ind w:left="40"/>
        <w:spacing w:after="0"/>
        <w:rPr>
          <w:sz w:val="20"/>
          <w:szCs w:val="20"/>
          <w:color w:val="auto"/>
        </w:rPr>
      </w:pPr>
      <w:r>
        <w:rPr>
          <w:rFonts w:ascii="Arial" w:cs="Arial" w:eastAsia="Arial" w:hAnsi="Arial"/>
          <w:sz w:val="17"/>
          <w:szCs w:val="17"/>
          <w:color w:val="auto"/>
        </w:rPr>
        <w:t>Paid</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Carry Forward Securities</w:t>
      </w:r>
    </w:p>
    <w:p>
      <w:pPr>
        <w:spacing w:after="0" w:line="39" w:lineRule="exact"/>
        <w:rPr>
          <w:sz w:val="20"/>
          <w:szCs w:val="20"/>
          <w:color w:val="auto"/>
        </w:rPr>
      </w:pPr>
    </w:p>
    <w:p>
      <w:pPr>
        <w:ind w:left="40"/>
        <w:spacing w:after="0"/>
        <w:rPr>
          <w:sz w:val="20"/>
          <w:szCs w:val="20"/>
          <w:color w:val="auto"/>
        </w:rPr>
      </w:pPr>
      <w:r>
        <w:rPr>
          <w:rFonts w:ascii="Arial" w:cs="Arial" w:eastAsia="Arial" w:hAnsi="Arial"/>
          <w:sz w:val="17"/>
          <w:szCs w:val="17"/>
          <w:color w:val="auto"/>
        </w:rPr>
        <w:t>Carry</w:t>
      </w:r>
    </w:p>
    <w:p>
      <w:pPr>
        <w:spacing w:after="0" w:line="8" w:lineRule="exact"/>
        <w:rPr>
          <w:sz w:val="20"/>
          <w:szCs w:val="20"/>
          <w:color w:val="auto"/>
        </w:rPr>
      </w:pPr>
    </w:p>
    <w:p>
      <w:pPr>
        <w:ind w:left="40"/>
        <w:spacing w:after="0"/>
        <w:rPr>
          <w:sz w:val="20"/>
          <w:szCs w:val="20"/>
          <w:color w:val="auto"/>
        </w:rPr>
      </w:pPr>
      <w:r>
        <w:rPr>
          <w:rFonts w:ascii="Arial" w:cs="Arial" w:eastAsia="Arial" w:hAnsi="Arial"/>
          <w:sz w:val="17"/>
          <w:szCs w:val="17"/>
          <w:color w:val="auto"/>
        </w:rPr>
        <w:t>Forward</w:t>
      </w:r>
    </w:p>
    <w:p>
      <w:pPr>
        <w:ind w:left="40"/>
        <w:spacing w:after="0"/>
        <w:rPr>
          <w:sz w:val="20"/>
          <w:szCs w:val="20"/>
          <w:color w:val="auto"/>
        </w:rPr>
      </w:pPr>
      <w:r>
        <w:rPr>
          <w:rFonts w:ascii="Arial" w:cs="Arial" w:eastAsia="Arial" w:hAnsi="Arial"/>
          <w:sz w:val="17"/>
          <w:szCs w:val="17"/>
          <w:color w:val="auto"/>
        </w:rPr>
        <w:t>Securities</w:t>
      </w:r>
    </w:p>
    <w:p>
      <w:pPr>
        <w:spacing w:after="0" w:line="23" w:lineRule="exact"/>
        <w:rPr>
          <w:sz w:val="20"/>
          <w:szCs w:val="20"/>
          <w:color w:val="auto"/>
        </w:rPr>
      </w:pPr>
    </w:p>
    <w:tbl>
      <w:tblPr>
        <w:tblLayout w:type="fixed"/>
        <w:tblInd w:w="2480" w:type="dxa"/>
        <w:tblCellMar>
          <w:top w:w="0" w:type="dxa"/>
          <w:left w:w="0" w:type="dxa"/>
          <w:bottom w:w="0" w:type="dxa"/>
          <w:right w:w="0" w:type="dxa"/>
        </w:tblCellMar>
      </w:tblPr>
      <w:tr>
        <w:trPr>
          <w:trHeight w:val="224"/>
        </w:trPr>
        <w:tc>
          <w:tcPr>
            <w:tcW w:w="2680" w:type="dxa"/>
            <w:vAlign w:val="bottom"/>
          </w:tcPr>
          <w:p>
            <w:pPr>
              <w:jc w:val="right"/>
              <w:ind w:right="555"/>
              <w:spacing w:after="0"/>
              <w:rPr>
                <w:sz w:val="20"/>
                <w:szCs w:val="20"/>
                <w:color w:val="auto"/>
              </w:rPr>
            </w:pPr>
            <w:r>
              <w:rPr>
                <w:rFonts w:ascii="Arial" w:cs="Arial" w:eastAsia="Arial" w:hAnsi="Arial"/>
                <w:sz w:val="17"/>
                <w:szCs w:val="17"/>
                <w:color w:val="auto"/>
              </w:rPr>
              <w:t>Total Offering Amounts:</w:t>
            </w:r>
          </w:p>
        </w:tc>
        <w:tc>
          <w:tcPr>
            <w:tcW w:w="1800" w:type="dxa"/>
            <w:vAlign w:val="bottom"/>
          </w:tcPr>
          <w:p>
            <w:pPr>
              <w:jc w:val="right"/>
              <w:ind w:right="615"/>
              <w:spacing w:after="0"/>
              <w:rPr>
                <w:sz w:val="20"/>
                <w:szCs w:val="20"/>
                <w:color w:val="auto"/>
              </w:rPr>
            </w:pPr>
            <w:r>
              <w:rPr>
                <w:rFonts w:ascii="Arial" w:cs="Arial" w:eastAsia="Arial" w:hAnsi="Arial"/>
                <w:sz w:val="17"/>
                <w:szCs w:val="17"/>
                <w:color w:val="auto"/>
              </w:rPr>
              <w:t>$ 0.00</w:t>
            </w:r>
          </w:p>
        </w:tc>
        <w:tc>
          <w:tcPr>
            <w:tcW w:w="1180" w:type="dxa"/>
            <w:vAlign w:val="bottom"/>
          </w:tcPr>
          <w:p>
            <w:pPr>
              <w:jc w:val="right"/>
              <w:spacing w:after="0"/>
              <w:rPr>
                <w:sz w:val="20"/>
                <w:szCs w:val="20"/>
                <w:color w:val="auto"/>
              </w:rPr>
            </w:pPr>
            <w:r>
              <w:rPr>
                <w:rFonts w:ascii="Arial" w:cs="Arial" w:eastAsia="Arial" w:hAnsi="Arial"/>
                <w:sz w:val="17"/>
                <w:szCs w:val="17"/>
                <w:color w:val="auto"/>
              </w:rPr>
              <w:t>$ 0.00</w:t>
            </w:r>
          </w:p>
        </w:tc>
      </w:tr>
      <w:tr>
        <w:trPr>
          <w:trHeight w:val="234"/>
        </w:trPr>
        <w:tc>
          <w:tcPr>
            <w:tcW w:w="2680" w:type="dxa"/>
            <w:vAlign w:val="bottom"/>
          </w:tcPr>
          <w:p>
            <w:pPr>
              <w:jc w:val="right"/>
              <w:ind w:right="555"/>
              <w:spacing w:after="0"/>
              <w:rPr>
                <w:sz w:val="20"/>
                <w:szCs w:val="20"/>
                <w:color w:val="auto"/>
              </w:rPr>
            </w:pPr>
            <w:r>
              <w:rPr>
                <w:rFonts w:ascii="Arial" w:cs="Arial" w:eastAsia="Arial" w:hAnsi="Arial"/>
                <w:sz w:val="17"/>
                <w:szCs w:val="17"/>
                <w:color w:val="auto"/>
                <w:w w:val="97"/>
              </w:rPr>
              <w:t>Total Fees Previously Paid:</w:t>
            </w:r>
          </w:p>
        </w:tc>
        <w:tc>
          <w:tcPr>
            <w:tcW w:w="18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$ 0.00</w:t>
            </w:r>
          </w:p>
        </w:tc>
      </w:tr>
      <w:tr>
        <w:trPr>
          <w:trHeight w:val="234"/>
        </w:trPr>
        <w:tc>
          <w:tcPr>
            <w:tcW w:w="2680" w:type="dxa"/>
            <w:vAlign w:val="bottom"/>
          </w:tcPr>
          <w:p>
            <w:pPr>
              <w:jc w:val="right"/>
              <w:ind w:right="555"/>
              <w:spacing w:after="0"/>
              <w:rPr>
                <w:sz w:val="20"/>
                <w:szCs w:val="20"/>
                <w:color w:val="auto"/>
              </w:rPr>
            </w:pPr>
            <w:r>
              <w:rPr>
                <w:rFonts w:ascii="Arial" w:cs="Arial" w:eastAsia="Arial" w:hAnsi="Arial"/>
                <w:sz w:val="17"/>
                <w:szCs w:val="17"/>
                <w:color w:val="auto"/>
              </w:rPr>
              <w:t>Total Fee Offsets:</w:t>
            </w:r>
          </w:p>
        </w:tc>
        <w:tc>
          <w:tcPr>
            <w:tcW w:w="18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$ 0.00</w:t>
            </w:r>
          </w:p>
        </w:tc>
      </w:tr>
      <w:tr>
        <w:trPr>
          <w:trHeight w:val="234"/>
        </w:trPr>
        <w:tc>
          <w:tcPr>
            <w:tcW w:w="2680" w:type="dxa"/>
            <w:vAlign w:val="bottom"/>
          </w:tcPr>
          <w:p>
            <w:pPr>
              <w:jc w:val="right"/>
              <w:ind w:right="555"/>
              <w:spacing w:after="0"/>
              <w:rPr>
                <w:sz w:val="20"/>
                <w:szCs w:val="20"/>
                <w:color w:val="auto"/>
              </w:rPr>
            </w:pPr>
            <w:r>
              <w:rPr>
                <w:rFonts w:ascii="Arial" w:cs="Arial" w:eastAsia="Arial" w:hAnsi="Arial"/>
                <w:sz w:val="17"/>
                <w:szCs w:val="17"/>
                <w:color w:val="auto"/>
              </w:rPr>
              <w:t>Net Fee Due:</w:t>
            </w:r>
          </w:p>
        </w:tc>
        <w:tc>
          <w:tcPr>
            <w:tcW w:w="18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$ 0.00</w:t>
            </w:r>
          </w:p>
        </w:tc>
      </w:tr>
    </w:tbl>
    <w:p>
      <w:pPr>
        <w:spacing w:after="0" w:line="255"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Offering Note</w:t>
      </w:r>
    </w:p>
    <w:p>
      <w:pPr>
        <w:spacing w:after="0" w:line="113" w:lineRule="exact"/>
        <w:rPr>
          <w:sz w:val="20"/>
          <w:szCs w:val="20"/>
          <w:color w:val="auto"/>
        </w:rPr>
      </w:pPr>
    </w:p>
    <w:p>
      <w:pPr>
        <w:ind w:left="220" w:right="160" w:hanging="183"/>
        <w:spacing w:after="0" w:line="232" w:lineRule="auto"/>
        <w:tabs>
          <w:tab w:leader="none" w:pos="220" w:val="left"/>
        </w:tabs>
        <w:numPr>
          <w:ilvl w:val="0"/>
          <w:numId w:val="123"/>
        </w:numPr>
        <w:rPr>
          <w:rFonts w:ascii="Arial" w:cs="Arial" w:eastAsia="Arial" w:hAnsi="Arial"/>
          <w:sz w:val="21"/>
          <w:szCs w:val="21"/>
          <w:color w:val="auto"/>
          <w:vertAlign w:val="superscript"/>
        </w:rPr>
      </w:pPr>
      <w:r>
        <w:rPr>
          <w:rFonts w:ascii="Arial" w:cs="Arial" w:eastAsia="Arial" w:hAnsi="Arial"/>
          <w:sz w:val="17"/>
          <w:szCs w:val="17"/>
          <w:color w:val="auto"/>
        </w:rPr>
        <w:t>Certain information has been omitted pursuant to Form S-3 Instructions to the Calculation of Filing Fee Tables and Related Disclosure 2(A)(iii)(c). An indeterminate aggregate initial offering price, principal amount or number of the securities of each identified class is being registered as may from time to time be issued at indeterminate prices In accordance with Rule 456(b) and Rule 457(r) under the Securities Act of 1933, as amended (the "Securities Act"), the registrants are deferring payment of all of the registration fee. Any subsequent registration fees will be paid on a pay-as-you-go basis. The registrants will calculate the registration fee applicable to an offer of securities pursuant to this Registration Statement based on the fee payment rate in effect on the date of such fee payment.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63500</wp:posOffset>
            </wp:positionV>
            <wp:extent cx="7146290" cy="3873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5">
                      <a:extLst>
                        <a:ext uri="{28A0092B-C50C-407E-A947-70E740481C1C}"/>
                      </a:extLst>
                    </a:blip>
                    <a:srcRect/>
                    <a:stretch>
                      <a:fillRect/>
                    </a:stretch>
                  </pic:blipFill>
                  <pic:spPr bwMode="auto">
                    <a:xfrm>
                      <a:off x="0" y="0"/>
                      <a:ext cx="7146290" cy="38735"/>
                    </a:xfrm>
                    <a:prstGeom prst="rect">
                      <a:avLst/>
                    </a:prstGeom>
                    <a:noFill/>
                  </pic:spPr>
                </pic:pic>
              </a:graphicData>
            </a:graphic>
          </wp:anchor>
        </w:drawing>
      </w:r>
    </w:p>
    <w:p>
      <w:pPr>
        <w:spacing w:after="0" w:line="227" w:lineRule="exact"/>
        <w:rPr>
          <w:sz w:val="20"/>
          <w:szCs w:val="20"/>
          <w:color w:val="auto"/>
        </w:rPr>
      </w:pPr>
    </w:p>
    <w:p>
      <w:pPr>
        <w:ind w:left="220" w:right="220" w:hanging="183"/>
        <w:spacing w:after="0" w:line="228" w:lineRule="auto"/>
        <w:tabs>
          <w:tab w:leader="none" w:pos="220" w:val="left"/>
        </w:tabs>
        <w:numPr>
          <w:ilvl w:val="0"/>
          <w:numId w:val="124"/>
        </w:numPr>
        <w:rPr>
          <w:rFonts w:ascii="Arial" w:cs="Arial" w:eastAsia="Arial" w:hAnsi="Arial"/>
          <w:sz w:val="21"/>
          <w:szCs w:val="21"/>
          <w:color w:val="auto"/>
          <w:vertAlign w:val="superscript"/>
        </w:rPr>
      </w:pPr>
      <w:r>
        <w:rPr>
          <w:rFonts w:ascii="Arial" w:cs="Arial" w:eastAsia="Arial" w:hAnsi="Arial"/>
          <w:sz w:val="17"/>
          <w:szCs w:val="17"/>
          <w:color w:val="auto"/>
        </w:rPr>
        <w:t>See offering note 1. Issuable by Cemex Corp. Pursuant to Rule 457(n) under the Securities Act, no separate registration fee is payable in respect of the registration of the guarantees.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61595</wp:posOffset>
            </wp:positionV>
            <wp:extent cx="7146290" cy="3873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6">
                      <a:extLst>
                        <a:ext uri="{28A0092B-C50C-407E-A947-70E740481C1C}"/>
                      </a:extLst>
                    </a:blip>
                    <a:srcRect/>
                    <a:stretch>
                      <a:fillRect/>
                    </a:stretch>
                  </pic:blipFill>
                  <pic:spPr bwMode="auto">
                    <a:xfrm>
                      <a:off x="0" y="0"/>
                      <a:ext cx="7146290" cy="38735"/>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tbl>
      <w:tblPr>
        <w:tblLayout w:type="fixed"/>
        <w:tblInd w:w="10" w:type="dxa"/>
        <w:tblCellMar>
          <w:top w:w="0" w:type="dxa"/>
          <w:left w:w="0" w:type="dxa"/>
          <w:bottom w:w="0" w:type="dxa"/>
          <w:right w:w="0" w:type="dxa"/>
        </w:tblCellMar>
      </w:tblPr>
      <w:tr>
        <w:trPr>
          <w:trHeight w:val="278"/>
        </w:trPr>
        <w:tc>
          <w:tcPr>
            <w:tcW w:w="3300" w:type="dxa"/>
            <w:vAlign w:val="bottom"/>
            <w:tcBorders>
              <w:bottom w:val="single" w:sz="8" w:color="auto"/>
            </w:tcBorders>
            <w:gridSpan w:val="10"/>
          </w:tcPr>
          <w:p>
            <w:pPr>
              <w:ind w:left="40"/>
              <w:spacing w:after="0"/>
              <w:rPr>
                <w:sz w:val="20"/>
                <w:szCs w:val="20"/>
                <w:color w:val="auto"/>
              </w:rPr>
            </w:pPr>
            <w:r>
              <w:rPr>
                <w:rFonts w:ascii="Arial" w:cs="Arial" w:eastAsia="Arial" w:hAnsi="Arial"/>
                <w:sz w:val="17"/>
                <w:szCs w:val="17"/>
                <w:b w:val="1"/>
                <w:bCs w:val="1"/>
                <w:color w:val="auto"/>
              </w:rPr>
              <w:t>Table 2: Fee Offset Claims and Sources</w:t>
            </w:r>
          </w:p>
        </w:tc>
        <w:tc>
          <w:tcPr>
            <w:tcW w:w="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gridSpan w:val="6"/>
          </w:tcPr>
          <w:p>
            <w:pPr>
              <w:ind w:left="340"/>
              <w:spacing w:after="0" w:line="196" w:lineRule="exact"/>
              <w:rPr>
                <w:sz w:val="20"/>
                <w:szCs w:val="20"/>
                <w:color w:val="auto"/>
              </w:rPr>
            </w:pPr>
            <w:r>
              <w:rPr>
                <w:rFonts w:ascii="MS PGothic" w:cs="MS PGothic" w:eastAsia="MS PGothic" w:hAnsi="MS PGothic"/>
                <w:sz w:val="17"/>
                <w:szCs w:val="17"/>
                <w:color w:val="auto"/>
                <w:highlight w:val="black"/>
                <w:w w:val="97"/>
              </w:rPr>
              <w:t>☑</w:t>
            </w:r>
            <w:r>
              <w:rPr>
                <w:rFonts w:ascii="Arial" w:cs="Arial" w:eastAsia="Arial" w:hAnsi="Arial"/>
                <w:sz w:val="17"/>
                <w:szCs w:val="17"/>
                <w:b w:val="1"/>
                <w:bCs w:val="1"/>
                <w:color w:val="auto"/>
                <w:w w:val="97"/>
              </w:rPr>
              <w:t>Not Applicable</w:t>
            </w:r>
          </w:p>
        </w:tc>
        <w:tc>
          <w:tcPr>
            <w:tcW w:w="0" w:type="dxa"/>
            <w:vAlign w:val="bottom"/>
          </w:tcPr>
          <w:p>
            <w:pPr>
              <w:spacing w:after="0"/>
              <w:rPr>
                <w:sz w:val="1"/>
                <w:szCs w:val="1"/>
                <w:color w:val="auto"/>
              </w:rPr>
            </w:pPr>
          </w:p>
        </w:tc>
      </w:tr>
      <w:tr>
        <w:trPr>
          <w:trHeight w:val="198"/>
        </w:trPr>
        <w:tc>
          <w:tcPr>
            <w:tcW w:w="40" w:type="dxa"/>
            <w:vAlign w:val="bottom"/>
            <w:tcBorders>
              <w:left w:val="single" w:sz="8" w:color="auto"/>
            </w:tcBorders>
          </w:tcPr>
          <w:p>
            <w:pPr>
              <w:spacing w:after="0"/>
              <w:rPr>
                <w:sz w:val="17"/>
                <w:szCs w:val="17"/>
                <w:color w:val="auto"/>
              </w:rPr>
            </w:pPr>
          </w:p>
        </w:tc>
        <w:tc>
          <w:tcPr>
            <w:tcW w:w="440" w:type="dxa"/>
            <w:vAlign w:val="bottom"/>
            <w:shd w:val="clear" w:color="auto" w:fill="9ADAF6"/>
          </w:tcPr>
          <w:p>
            <w:pPr>
              <w:spacing w:after="0"/>
              <w:rPr>
                <w:sz w:val="17"/>
                <w:szCs w:val="17"/>
                <w:color w:val="auto"/>
              </w:rPr>
            </w:pPr>
          </w:p>
        </w:tc>
        <w:tc>
          <w:tcPr>
            <w:tcW w:w="20" w:type="dxa"/>
            <w:vAlign w:val="bottom"/>
            <w:shd w:val="clear" w:color="auto" w:fill="9ADAF6"/>
          </w:tcPr>
          <w:p>
            <w:pPr>
              <w:spacing w:after="0"/>
              <w:rPr>
                <w:sz w:val="17"/>
                <w:szCs w:val="17"/>
                <w:color w:val="auto"/>
              </w:rPr>
            </w:pPr>
          </w:p>
        </w:tc>
        <w:tc>
          <w:tcPr>
            <w:tcW w:w="52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68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shd w:val="clear" w:color="auto" w:fill="9ADAF6"/>
          </w:tcPr>
          <w:p>
            <w:pPr>
              <w:spacing w:after="0"/>
              <w:rPr>
                <w:sz w:val="17"/>
                <w:szCs w:val="17"/>
                <w:color w:val="auto"/>
              </w:rPr>
            </w:pPr>
          </w:p>
        </w:tc>
        <w:tc>
          <w:tcPr>
            <w:tcW w:w="20" w:type="dxa"/>
            <w:vAlign w:val="bottom"/>
            <w:shd w:val="clear" w:color="auto" w:fill="9ADAF6"/>
          </w:tcPr>
          <w:p>
            <w:pPr>
              <w:spacing w:after="0"/>
              <w:rPr>
                <w:sz w:val="17"/>
                <w:szCs w:val="17"/>
                <w:color w:val="auto"/>
              </w:rPr>
            </w:pPr>
          </w:p>
        </w:tc>
        <w:tc>
          <w:tcPr>
            <w:tcW w:w="124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62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74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shd w:val="clear" w:color="auto" w:fill="9ADAF6"/>
          </w:tcPr>
          <w:p>
            <w:pPr>
              <w:spacing w:after="0"/>
              <w:rPr>
                <w:sz w:val="17"/>
                <w:szCs w:val="17"/>
                <w:color w:val="auto"/>
              </w:rPr>
            </w:pPr>
          </w:p>
        </w:tc>
        <w:tc>
          <w:tcPr>
            <w:tcW w:w="20" w:type="dxa"/>
            <w:vAlign w:val="bottom"/>
            <w:shd w:val="clear" w:color="auto" w:fill="9ADAF6"/>
          </w:tcPr>
          <w:p>
            <w:pPr>
              <w:spacing w:after="0"/>
              <w:rPr>
                <w:sz w:val="17"/>
                <w:szCs w:val="17"/>
                <w:color w:val="auto"/>
              </w:rPr>
            </w:pPr>
          </w:p>
        </w:tc>
        <w:tc>
          <w:tcPr>
            <w:tcW w:w="380" w:type="dxa"/>
            <w:vAlign w:val="bottom"/>
            <w:shd w:val="clear" w:color="auto" w:fill="9ADAF6"/>
          </w:tcPr>
          <w:p>
            <w:pPr>
              <w:spacing w:after="0"/>
              <w:rPr>
                <w:sz w:val="17"/>
                <w:szCs w:val="17"/>
                <w:color w:val="auto"/>
              </w:rPr>
            </w:pPr>
          </w:p>
        </w:tc>
        <w:tc>
          <w:tcPr>
            <w:tcW w:w="8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62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460" w:type="dxa"/>
            <w:vAlign w:val="bottom"/>
            <w:shd w:val="clear" w:color="auto" w:fill="9ADAF6"/>
          </w:tcPr>
          <w:p>
            <w:pPr>
              <w:spacing w:after="0"/>
              <w:rPr>
                <w:sz w:val="17"/>
                <w:szCs w:val="17"/>
                <w:color w:val="auto"/>
              </w:rPr>
            </w:pPr>
          </w:p>
        </w:tc>
        <w:tc>
          <w:tcPr>
            <w:tcW w:w="20" w:type="dxa"/>
            <w:vAlign w:val="bottom"/>
            <w:shd w:val="clear" w:color="auto" w:fill="9ADAF6"/>
          </w:tcPr>
          <w:p>
            <w:pPr>
              <w:spacing w:after="0"/>
              <w:rPr>
                <w:sz w:val="17"/>
                <w:szCs w:val="17"/>
                <w:color w:val="auto"/>
              </w:rPr>
            </w:pPr>
          </w:p>
        </w:tc>
        <w:tc>
          <w:tcPr>
            <w:tcW w:w="120" w:type="dxa"/>
            <w:vAlign w:val="bottom"/>
            <w:shd w:val="clear" w:color="auto" w:fill="9ADAF6"/>
          </w:tcPr>
          <w:p>
            <w:pPr>
              <w:spacing w:after="0"/>
              <w:rPr>
                <w:sz w:val="17"/>
                <w:szCs w:val="17"/>
                <w:color w:val="auto"/>
              </w:rPr>
            </w:pPr>
          </w:p>
        </w:tc>
        <w:tc>
          <w:tcPr>
            <w:tcW w:w="80" w:type="dxa"/>
            <w:vAlign w:val="bottom"/>
            <w:shd w:val="clear" w:color="auto" w:fill="9ADAF6"/>
          </w:tcPr>
          <w:p>
            <w:pPr>
              <w:spacing w:after="0"/>
              <w:rPr>
                <w:sz w:val="17"/>
                <w:szCs w:val="17"/>
                <w:color w:val="auto"/>
              </w:rPr>
            </w:pPr>
          </w:p>
        </w:tc>
        <w:tc>
          <w:tcPr>
            <w:tcW w:w="40" w:type="dxa"/>
            <w:vAlign w:val="bottom"/>
            <w:tcBorders>
              <w:right w:val="single" w:sz="8" w:color="9ADAF6"/>
            </w:tcBorders>
          </w:tcPr>
          <w:p>
            <w:pPr>
              <w:spacing w:after="0"/>
              <w:rPr>
                <w:sz w:val="17"/>
                <w:szCs w:val="17"/>
                <w:color w:val="auto"/>
              </w:rPr>
            </w:pPr>
          </w:p>
        </w:tc>
        <w:tc>
          <w:tcPr>
            <w:tcW w:w="92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840" w:type="dxa"/>
            <w:vAlign w:val="bottom"/>
            <w:shd w:val="clear" w:color="auto" w:fill="9ADAF6"/>
          </w:tcPr>
          <w:p>
            <w:pPr>
              <w:spacing w:after="0"/>
              <w:rPr>
                <w:sz w:val="17"/>
                <w:szCs w:val="17"/>
                <w:color w:val="auto"/>
              </w:rPr>
            </w:pPr>
          </w:p>
        </w:tc>
        <w:tc>
          <w:tcPr>
            <w:tcW w:w="20" w:type="dxa"/>
            <w:vAlign w:val="bottom"/>
            <w:shd w:val="clear" w:color="auto" w:fill="9ADAF6"/>
          </w:tcPr>
          <w:p>
            <w:pPr>
              <w:spacing w:after="0"/>
              <w:rPr>
                <w:sz w:val="17"/>
                <w:szCs w:val="17"/>
                <w:color w:val="auto"/>
              </w:rPr>
            </w:pPr>
          </w:p>
        </w:tc>
        <w:tc>
          <w:tcPr>
            <w:tcW w:w="8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560" w:type="dxa"/>
            <w:vAlign w:val="bottom"/>
            <w:shd w:val="clear" w:color="auto" w:fill="9ADAF6"/>
          </w:tcPr>
          <w:p>
            <w:pPr>
              <w:spacing w:after="0"/>
              <w:rPr>
                <w:sz w:val="17"/>
                <w:szCs w:val="17"/>
                <w:color w:val="auto"/>
              </w:rPr>
            </w:pPr>
          </w:p>
        </w:tc>
        <w:tc>
          <w:tcPr>
            <w:tcW w:w="20" w:type="dxa"/>
            <w:vAlign w:val="bottom"/>
            <w:shd w:val="clear" w:color="auto" w:fill="9ADAF6"/>
          </w:tcPr>
          <w:p>
            <w:pPr>
              <w:spacing w:after="0"/>
              <w:rPr>
                <w:sz w:val="17"/>
                <w:szCs w:val="17"/>
                <w:color w:val="auto"/>
              </w:rPr>
            </w:pPr>
          </w:p>
        </w:tc>
        <w:tc>
          <w:tcPr>
            <w:tcW w:w="36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980" w:type="dxa"/>
            <w:vAlign w:val="bottom"/>
            <w:gridSpan w:val="3"/>
            <w:shd w:val="clear" w:color="auto" w:fill="9ADAF6"/>
          </w:tcPr>
          <w:p>
            <w:pPr>
              <w:jc w:val="center"/>
              <w:spacing w:after="0"/>
              <w:rPr>
                <w:sz w:val="20"/>
                <w:szCs w:val="20"/>
                <w:color w:val="auto"/>
              </w:rPr>
            </w:pPr>
            <w:r>
              <w:rPr>
                <w:rFonts w:ascii="Arial" w:cs="Arial" w:eastAsia="Arial" w:hAnsi="Arial"/>
                <w:sz w:val="17"/>
                <w:szCs w:val="17"/>
                <w:b w:val="1"/>
                <w:bCs w:val="1"/>
                <w:color w:val="auto"/>
              </w:rPr>
              <w:t>Unsold</w:t>
            </w:r>
          </w:p>
        </w:tc>
        <w:tc>
          <w:tcPr>
            <w:tcW w:w="20" w:type="dxa"/>
            <w:vAlign w:val="bottom"/>
          </w:tcPr>
          <w:p>
            <w:pPr>
              <w:spacing w:after="0"/>
              <w:rPr>
                <w:sz w:val="17"/>
                <w:szCs w:val="17"/>
                <w:color w:val="auto"/>
              </w:rPr>
            </w:pPr>
          </w:p>
        </w:tc>
        <w:tc>
          <w:tcPr>
            <w:tcW w:w="640" w:type="dxa"/>
            <w:vAlign w:val="bottom"/>
            <w:shd w:val="clear" w:color="auto" w:fill="9ADAF6"/>
          </w:tcPr>
          <w:p>
            <w:pPr>
              <w:spacing w:after="0"/>
              <w:rPr>
                <w:sz w:val="17"/>
                <w:szCs w:val="17"/>
                <w:color w:val="auto"/>
              </w:rPr>
            </w:pPr>
          </w:p>
        </w:tc>
        <w:tc>
          <w:tcPr>
            <w:tcW w:w="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40" w:type="dxa"/>
            <w:vAlign w:val="bottom"/>
            <w:tcBorders>
              <w:left w:val="single" w:sz="8" w:color="auto"/>
            </w:tcBorders>
          </w:tcPr>
          <w:p>
            <w:pPr>
              <w:spacing w:after="0"/>
              <w:rPr>
                <w:sz w:val="16"/>
                <w:szCs w:val="16"/>
                <w:color w:val="auto"/>
              </w:rPr>
            </w:pPr>
          </w:p>
        </w:tc>
        <w:tc>
          <w:tcPr>
            <w:tcW w:w="4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12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380" w:type="dxa"/>
            <w:vAlign w:val="bottom"/>
            <w:shd w:val="clear" w:color="auto" w:fill="9ADAF6"/>
          </w:tcPr>
          <w:p>
            <w:pPr>
              <w:spacing w:after="0"/>
              <w:rPr>
                <w:sz w:val="16"/>
                <w:szCs w:val="16"/>
                <w:color w:val="auto"/>
              </w:rPr>
            </w:pPr>
          </w:p>
        </w:tc>
        <w:tc>
          <w:tcPr>
            <w:tcW w:w="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46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80" w:type="dxa"/>
            <w:vAlign w:val="bottom"/>
            <w:shd w:val="clear" w:color="auto" w:fill="9ADAF6"/>
          </w:tcPr>
          <w:p>
            <w:pPr>
              <w:spacing w:after="0"/>
              <w:rPr>
                <w:sz w:val="16"/>
                <w:szCs w:val="16"/>
                <w:color w:val="auto"/>
              </w:rPr>
            </w:pPr>
          </w:p>
        </w:tc>
        <w:tc>
          <w:tcPr>
            <w:tcW w:w="40" w:type="dxa"/>
            <w:vAlign w:val="bottom"/>
            <w:tcBorders>
              <w:right w:val="single" w:sz="8" w:color="9ADAF6"/>
            </w:tcBorders>
          </w:tcPr>
          <w:p>
            <w:pPr>
              <w:spacing w:after="0"/>
              <w:rPr>
                <w:sz w:val="16"/>
                <w:szCs w:val="16"/>
                <w:color w:val="auto"/>
              </w:rPr>
            </w:pPr>
          </w:p>
        </w:tc>
        <w:tc>
          <w:tcPr>
            <w:tcW w:w="920" w:type="dxa"/>
            <w:vAlign w:val="bottom"/>
            <w:shd w:val="clear" w:color="auto" w:fill="9ADAF6"/>
          </w:tcPr>
          <w:p>
            <w:pPr>
              <w:jc w:val="center"/>
              <w:spacing w:after="0" w:line="192" w:lineRule="exact"/>
              <w:rPr>
                <w:sz w:val="20"/>
                <w:szCs w:val="20"/>
                <w:color w:val="auto"/>
              </w:rPr>
            </w:pPr>
            <w:r>
              <w:rPr>
                <w:rFonts w:ascii="Arial" w:cs="Arial" w:eastAsia="Arial" w:hAnsi="Arial"/>
                <w:sz w:val="17"/>
                <w:szCs w:val="17"/>
                <w:b w:val="1"/>
                <w:bCs w:val="1"/>
                <w:color w:val="auto"/>
              </w:rPr>
              <w:t>Security</w:t>
            </w:r>
          </w:p>
        </w:tc>
        <w:tc>
          <w:tcPr>
            <w:tcW w:w="20" w:type="dxa"/>
            <w:vAlign w:val="bottom"/>
          </w:tcPr>
          <w:p>
            <w:pPr>
              <w:spacing w:after="0"/>
              <w:rPr>
                <w:sz w:val="16"/>
                <w:szCs w:val="16"/>
                <w:color w:val="auto"/>
              </w:rPr>
            </w:pPr>
          </w:p>
        </w:tc>
        <w:tc>
          <w:tcPr>
            <w:tcW w:w="940" w:type="dxa"/>
            <w:vAlign w:val="bottom"/>
            <w:gridSpan w:val="3"/>
            <w:shd w:val="clear" w:color="auto" w:fill="9ADAF6"/>
          </w:tcPr>
          <w:p>
            <w:pPr>
              <w:jc w:val="center"/>
              <w:spacing w:after="0" w:line="192" w:lineRule="exact"/>
              <w:rPr>
                <w:sz w:val="20"/>
                <w:szCs w:val="20"/>
                <w:color w:val="auto"/>
              </w:rPr>
            </w:pPr>
            <w:r>
              <w:rPr>
                <w:rFonts w:ascii="Arial" w:cs="Arial" w:eastAsia="Arial" w:hAnsi="Arial"/>
                <w:sz w:val="17"/>
                <w:szCs w:val="17"/>
                <w:b w:val="1"/>
                <w:bCs w:val="1"/>
                <w:color w:val="auto"/>
                <w:w w:val="98"/>
              </w:rPr>
              <w:t>Security</w:t>
            </w:r>
          </w:p>
        </w:tc>
        <w:tc>
          <w:tcPr>
            <w:tcW w:w="20" w:type="dxa"/>
            <w:vAlign w:val="bottom"/>
          </w:tcPr>
          <w:p>
            <w:pPr>
              <w:spacing w:after="0"/>
              <w:rPr>
                <w:sz w:val="16"/>
                <w:szCs w:val="16"/>
                <w:color w:val="auto"/>
              </w:rPr>
            </w:pPr>
          </w:p>
        </w:tc>
        <w:tc>
          <w:tcPr>
            <w:tcW w:w="940" w:type="dxa"/>
            <w:vAlign w:val="bottom"/>
            <w:gridSpan w:val="3"/>
            <w:shd w:val="clear" w:color="auto" w:fill="9ADAF6"/>
          </w:tcPr>
          <w:p>
            <w:pPr>
              <w:jc w:val="center"/>
              <w:spacing w:after="0" w:line="192" w:lineRule="exact"/>
              <w:rPr>
                <w:sz w:val="20"/>
                <w:szCs w:val="20"/>
                <w:color w:val="auto"/>
              </w:rPr>
            </w:pPr>
            <w:r>
              <w:rPr>
                <w:rFonts w:ascii="Arial" w:cs="Arial" w:eastAsia="Arial" w:hAnsi="Arial"/>
                <w:sz w:val="17"/>
                <w:szCs w:val="17"/>
                <w:b w:val="1"/>
                <w:bCs w:val="1"/>
                <w:color w:val="auto"/>
              </w:rPr>
              <w:t>Unsold</w:t>
            </w:r>
          </w:p>
        </w:tc>
        <w:tc>
          <w:tcPr>
            <w:tcW w:w="20" w:type="dxa"/>
            <w:vAlign w:val="bottom"/>
          </w:tcPr>
          <w:p>
            <w:pPr>
              <w:spacing w:after="0"/>
              <w:rPr>
                <w:sz w:val="16"/>
                <w:szCs w:val="16"/>
                <w:color w:val="auto"/>
              </w:rPr>
            </w:pPr>
          </w:p>
        </w:tc>
        <w:tc>
          <w:tcPr>
            <w:tcW w:w="980" w:type="dxa"/>
            <w:vAlign w:val="bottom"/>
            <w:gridSpan w:val="3"/>
            <w:shd w:val="clear" w:color="auto" w:fill="9ADAF6"/>
          </w:tcPr>
          <w:p>
            <w:pPr>
              <w:jc w:val="center"/>
              <w:spacing w:after="0" w:line="192" w:lineRule="exact"/>
              <w:rPr>
                <w:sz w:val="20"/>
                <w:szCs w:val="20"/>
                <w:color w:val="auto"/>
              </w:rPr>
            </w:pPr>
            <w:r>
              <w:rPr>
                <w:rFonts w:ascii="Arial" w:cs="Arial" w:eastAsia="Arial" w:hAnsi="Arial"/>
                <w:sz w:val="17"/>
                <w:szCs w:val="17"/>
                <w:b w:val="1"/>
                <w:bCs w:val="1"/>
                <w:color w:val="auto"/>
              </w:rPr>
              <w:t>Aggregate</w:t>
            </w:r>
          </w:p>
        </w:tc>
        <w:tc>
          <w:tcPr>
            <w:tcW w:w="20" w:type="dxa"/>
            <w:vAlign w:val="bottom"/>
          </w:tcPr>
          <w:p>
            <w:pPr>
              <w:spacing w:after="0"/>
              <w:rPr>
                <w:sz w:val="16"/>
                <w:szCs w:val="16"/>
                <w:color w:val="auto"/>
              </w:rPr>
            </w:pPr>
          </w:p>
        </w:tc>
        <w:tc>
          <w:tcPr>
            <w:tcW w:w="640" w:type="dxa"/>
            <w:vAlign w:val="bottom"/>
            <w:shd w:val="clear" w:color="auto" w:fill="9ADAF6"/>
          </w:tcPr>
          <w:p>
            <w:pPr>
              <w:jc w:val="center"/>
              <w:spacing w:after="0" w:line="192" w:lineRule="exact"/>
              <w:rPr>
                <w:sz w:val="20"/>
                <w:szCs w:val="20"/>
                <w:color w:val="auto"/>
              </w:rPr>
            </w:pPr>
            <w:r>
              <w:rPr>
                <w:rFonts w:ascii="Arial" w:cs="Arial" w:eastAsia="Arial" w:hAnsi="Arial"/>
                <w:sz w:val="17"/>
                <w:szCs w:val="17"/>
                <w:b w:val="1"/>
                <w:bCs w:val="1"/>
                <w:color w:val="auto"/>
              </w:rPr>
              <w:t>Fee</w:t>
            </w:r>
          </w:p>
        </w:tc>
        <w:tc>
          <w:tcPr>
            <w:tcW w:w="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40" w:type="dxa"/>
            <w:vAlign w:val="bottom"/>
            <w:tcBorders>
              <w:left w:val="single" w:sz="8" w:color="auto"/>
            </w:tcBorders>
          </w:tcPr>
          <w:p>
            <w:pPr>
              <w:spacing w:after="0"/>
              <w:rPr>
                <w:sz w:val="16"/>
                <w:szCs w:val="16"/>
                <w:color w:val="auto"/>
              </w:rPr>
            </w:pPr>
          </w:p>
        </w:tc>
        <w:tc>
          <w:tcPr>
            <w:tcW w:w="4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12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jc w:val="center"/>
              <w:spacing w:after="0" w:line="192" w:lineRule="exact"/>
              <w:rPr>
                <w:sz w:val="20"/>
                <w:szCs w:val="20"/>
                <w:color w:val="auto"/>
              </w:rPr>
            </w:pPr>
            <w:r>
              <w:rPr>
                <w:rFonts w:ascii="Arial" w:cs="Arial" w:eastAsia="Arial" w:hAnsi="Arial"/>
                <w:sz w:val="17"/>
                <w:szCs w:val="17"/>
                <w:b w:val="1"/>
                <w:bCs w:val="1"/>
                <w:color w:val="auto"/>
              </w:rPr>
              <w:t>Form</w:t>
            </w:r>
          </w:p>
        </w:tc>
        <w:tc>
          <w:tcPr>
            <w:tcW w:w="20" w:type="dxa"/>
            <w:vAlign w:val="bottom"/>
          </w:tcPr>
          <w:p>
            <w:pPr>
              <w:spacing w:after="0"/>
              <w:rPr>
                <w:sz w:val="16"/>
                <w:szCs w:val="16"/>
                <w:color w:val="auto"/>
              </w:rPr>
            </w:pPr>
          </w:p>
        </w:tc>
        <w:tc>
          <w:tcPr>
            <w:tcW w:w="7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540" w:type="dxa"/>
            <w:vAlign w:val="bottom"/>
            <w:gridSpan w:val="3"/>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8"/>
              </w:rPr>
              <w:t>Initial</w:t>
            </w:r>
          </w:p>
        </w:tc>
        <w:tc>
          <w:tcPr>
            <w:tcW w:w="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00" w:type="dxa"/>
            <w:vAlign w:val="bottom"/>
            <w:gridSpan w:val="3"/>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5"/>
              </w:rPr>
              <w:t>Fee</w:t>
            </w:r>
          </w:p>
        </w:tc>
        <w:tc>
          <w:tcPr>
            <w:tcW w:w="80" w:type="dxa"/>
            <w:vAlign w:val="bottom"/>
            <w:shd w:val="clear" w:color="auto" w:fill="9ADAF6"/>
          </w:tcPr>
          <w:p>
            <w:pPr>
              <w:spacing w:after="0"/>
              <w:rPr>
                <w:sz w:val="16"/>
                <w:szCs w:val="16"/>
                <w:color w:val="auto"/>
              </w:rPr>
            </w:pPr>
          </w:p>
        </w:tc>
        <w:tc>
          <w:tcPr>
            <w:tcW w:w="40" w:type="dxa"/>
            <w:vAlign w:val="bottom"/>
            <w:tcBorders>
              <w:right w:val="single" w:sz="8" w:color="9ADAF6"/>
            </w:tcBorders>
          </w:tcPr>
          <w:p>
            <w:pPr>
              <w:spacing w:after="0"/>
              <w:rPr>
                <w:sz w:val="16"/>
                <w:szCs w:val="16"/>
                <w:color w:val="auto"/>
              </w:rPr>
            </w:pPr>
          </w:p>
        </w:tc>
        <w:tc>
          <w:tcPr>
            <w:tcW w:w="920" w:type="dxa"/>
            <w:vAlign w:val="bottom"/>
            <w:shd w:val="clear" w:color="auto" w:fill="9ADAF6"/>
          </w:tcPr>
          <w:p>
            <w:pPr>
              <w:jc w:val="center"/>
              <w:spacing w:after="0" w:line="192" w:lineRule="exact"/>
              <w:rPr>
                <w:sz w:val="20"/>
                <w:szCs w:val="20"/>
                <w:color w:val="auto"/>
              </w:rPr>
            </w:pPr>
            <w:r>
              <w:rPr>
                <w:rFonts w:ascii="Arial" w:cs="Arial" w:eastAsia="Arial" w:hAnsi="Arial"/>
                <w:sz w:val="17"/>
                <w:szCs w:val="17"/>
                <w:b w:val="1"/>
                <w:bCs w:val="1"/>
                <w:color w:val="auto"/>
                <w:w w:val="95"/>
              </w:rPr>
              <w:t>Type</w:t>
            </w:r>
          </w:p>
        </w:tc>
        <w:tc>
          <w:tcPr>
            <w:tcW w:w="20" w:type="dxa"/>
            <w:vAlign w:val="bottom"/>
          </w:tcPr>
          <w:p>
            <w:pPr>
              <w:spacing w:after="0"/>
              <w:rPr>
                <w:sz w:val="16"/>
                <w:szCs w:val="16"/>
                <w:color w:val="auto"/>
              </w:rPr>
            </w:pPr>
          </w:p>
        </w:tc>
        <w:tc>
          <w:tcPr>
            <w:tcW w:w="940" w:type="dxa"/>
            <w:vAlign w:val="bottom"/>
            <w:gridSpan w:val="3"/>
            <w:shd w:val="clear" w:color="auto" w:fill="9ADAF6"/>
          </w:tcPr>
          <w:p>
            <w:pPr>
              <w:jc w:val="center"/>
              <w:spacing w:after="0" w:line="192" w:lineRule="exact"/>
              <w:rPr>
                <w:sz w:val="20"/>
                <w:szCs w:val="20"/>
                <w:color w:val="auto"/>
              </w:rPr>
            </w:pPr>
            <w:r>
              <w:rPr>
                <w:rFonts w:ascii="Arial" w:cs="Arial" w:eastAsia="Arial" w:hAnsi="Arial"/>
                <w:sz w:val="17"/>
                <w:szCs w:val="17"/>
                <w:b w:val="1"/>
                <w:bCs w:val="1"/>
                <w:color w:val="auto"/>
                <w:w w:val="97"/>
              </w:rPr>
              <w:t>Title</w:t>
            </w:r>
          </w:p>
        </w:tc>
        <w:tc>
          <w:tcPr>
            <w:tcW w:w="20" w:type="dxa"/>
            <w:vAlign w:val="bottom"/>
          </w:tcPr>
          <w:p>
            <w:pPr>
              <w:spacing w:after="0"/>
              <w:rPr>
                <w:sz w:val="16"/>
                <w:szCs w:val="16"/>
                <w:color w:val="auto"/>
              </w:rPr>
            </w:pPr>
          </w:p>
        </w:tc>
        <w:tc>
          <w:tcPr>
            <w:tcW w:w="940" w:type="dxa"/>
            <w:vAlign w:val="bottom"/>
            <w:gridSpan w:val="3"/>
            <w:shd w:val="clear" w:color="auto" w:fill="9ADAF6"/>
          </w:tcPr>
          <w:p>
            <w:pPr>
              <w:jc w:val="center"/>
              <w:spacing w:after="0" w:line="192" w:lineRule="exact"/>
              <w:rPr>
                <w:sz w:val="20"/>
                <w:szCs w:val="20"/>
                <w:color w:val="auto"/>
              </w:rPr>
            </w:pPr>
            <w:r>
              <w:rPr>
                <w:rFonts w:ascii="Arial" w:cs="Arial" w:eastAsia="Arial" w:hAnsi="Arial"/>
                <w:sz w:val="17"/>
                <w:szCs w:val="17"/>
                <w:b w:val="1"/>
                <w:bCs w:val="1"/>
                <w:color w:val="auto"/>
              </w:rPr>
              <w:t>Securities</w:t>
            </w:r>
          </w:p>
        </w:tc>
        <w:tc>
          <w:tcPr>
            <w:tcW w:w="20" w:type="dxa"/>
            <w:vAlign w:val="bottom"/>
          </w:tcPr>
          <w:p>
            <w:pPr>
              <w:spacing w:after="0"/>
              <w:rPr>
                <w:sz w:val="16"/>
                <w:szCs w:val="16"/>
                <w:color w:val="auto"/>
              </w:rPr>
            </w:pPr>
          </w:p>
        </w:tc>
        <w:tc>
          <w:tcPr>
            <w:tcW w:w="980" w:type="dxa"/>
            <w:vAlign w:val="bottom"/>
            <w:gridSpan w:val="3"/>
            <w:shd w:val="clear" w:color="auto" w:fill="9ADAF6"/>
          </w:tcPr>
          <w:p>
            <w:pPr>
              <w:jc w:val="center"/>
              <w:spacing w:after="0" w:line="192" w:lineRule="exact"/>
              <w:rPr>
                <w:sz w:val="20"/>
                <w:szCs w:val="20"/>
                <w:color w:val="auto"/>
              </w:rPr>
            </w:pPr>
            <w:r>
              <w:rPr>
                <w:rFonts w:ascii="Arial" w:cs="Arial" w:eastAsia="Arial" w:hAnsi="Arial"/>
                <w:sz w:val="17"/>
                <w:szCs w:val="17"/>
                <w:b w:val="1"/>
                <w:bCs w:val="1"/>
                <w:color w:val="auto"/>
                <w:w w:val="99"/>
              </w:rPr>
              <w:t>Offering</w:t>
            </w:r>
          </w:p>
        </w:tc>
        <w:tc>
          <w:tcPr>
            <w:tcW w:w="20" w:type="dxa"/>
            <w:vAlign w:val="bottom"/>
          </w:tcPr>
          <w:p>
            <w:pPr>
              <w:spacing w:after="0"/>
              <w:rPr>
                <w:sz w:val="16"/>
                <w:szCs w:val="16"/>
                <w:color w:val="auto"/>
              </w:rPr>
            </w:pPr>
          </w:p>
        </w:tc>
        <w:tc>
          <w:tcPr>
            <w:tcW w:w="640" w:type="dxa"/>
            <w:vAlign w:val="bottom"/>
            <w:shd w:val="clear" w:color="auto" w:fill="9ADAF6"/>
          </w:tcPr>
          <w:p>
            <w:pPr>
              <w:jc w:val="center"/>
              <w:spacing w:after="0" w:line="192" w:lineRule="exact"/>
              <w:rPr>
                <w:sz w:val="20"/>
                <w:szCs w:val="20"/>
                <w:color w:val="auto"/>
              </w:rPr>
            </w:pPr>
            <w:r>
              <w:rPr>
                <w:rFonts w:ascii="Arial" w:cs="Arial" w:eastAsia="Arial" w:hAnsi="Arial"/>
                <w:sz w:val="17"/>
                <w:szCs w:val="17"/>
                <w:b w:val="1"/>
                <w:bCs w:val="1"/>
                <w:color w:val="auto"/>
              </w:rPr>
              <w:t>Paid</w:t>
            </w:r>
          </w:p>
        </w:tc>
        <w:tc>
          <w:tcPr>
            <w:tcW w:w="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96"/>
        </w:trPr>
        <w:tc>
          <w:tcPr>
            <w:tcW w:w="40" w:type="dxa"/>
            <w:vAlign w:val="bottom"/>
            <w:tcBorders>
              <w:left w:val="single" w:sz="8" w:color="auto"/>
            </w:tcBorders>
          </w:tcPr>
          <w:p>
            <w:pPr>
              <w:spacing w:after="0"/>
              <w:rPr>
                <w:sz w:val="8"/>
                <w:szCs w:val="8"/>
                <w:color w:val="auto"/>
              </w:rPr>
            </w:pPr>
          </w:p>
        </w:tc>
        <w:tc>
          <w:tcPr>
            <w:tcW w:w="44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52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560" w:type="dxa"/>
            <w:vAlign w:val="bottom"/>
            <w:gridSpan w:val="3"/>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9"/>
              </w:rPr>
              <w:t>Registrant or Filer</w:t>
            </w:r>
          </w:p>
        </w:tc>
        <w:tc>
          <w:tcPr>
            <w:tcW w:w="20" w:type="dxa"/>
            <w:vAlign w:val="bottom"/>
          </w:tcPr>
          <w:p>
            <w:pPr>
              <w:spacing w:after="0"/>
              <w:rPr>
                <w:sz w:val="8"/>
                <w:szCs w:val="8"/>
                <w:color w:val="auto"/>
              </w:rPr>
            </w:pPr>
          </w:p>
        </w:tc>
        <w:tc>
          <w:tcPr>
            <w:tcW w:w="62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3"/>
              </w:rPr>
              <w:t>or</w:t>
            </w:r>
          </w:p>
        </w:tc>
        <w:tc>
          <w:tcPr>
            <w:tcW w:w="20" w:type="dxa"/>
            <w:vAlign w:val="bottom"/>
          </w:tcPr>
          <w:p>
            <w:pPr>
              <w:spacing w:after="0"/>
              <w:rPr>
                <w:sz w:val="8"/>
                <w:szCs w:val="8"/>
                <w:color w:val="auto"/>
              </w:rPr>
            </w:pPr>
          </w:p>
        </w:tc>
        <w:tc>
          <w:tcPr>
            <w:tcW w:w="74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rPr>
              <w:t>File</w:t>
            </w:r>
          </w:p>
        </w:tc>
        <w:tc>
          <w:tcPr>
            <w:tcW w:w="20" w:type="dxa"/>
            <w:vAlign w:val="bottom"/>
          </w:tcPr>
          <w:p>
            <w:pPr>
              <w:spacing w:after="0"/>
              <w:rPr>
                <w:sz w:val="8"/>
                <w:szCs w:val="8"/>
                <w:color w:val="auto"/>
              </w:rPr>
            </w:pPr>
          </w:p>
        </w:tc>
        <w:tc>
          <w:tcPr>
            <w:tcW w:w="540" w:type="dxa"/>
            <w:vAlign w:val="bottom"/>
            <w:gridSpan w:val="3"/>
            <w:vMerge w:val="continue"/>
            <w:shd w:val="clear" w:color="auto" w:fill="9ADAF6"/>
          </w:tcPr>
          <w:p>
            <w:pPr>
              <w:spacing w:after="0"/>
              <w:rPr>
                <w:sz w:val="8"/>
                <w:szCs w:val="8"/>
                <w:color w:val="auto"/>
              </w:rPr>
            </w:pPr>
          </w:p>
        </w:tc>
        <w:tc>
          <w:tcPr>
            <w:tcW w:w="8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rPr>
              <w:t>Filing</w:t>
            </w:r>
          </w:p>
        </w:tc>
        <w:tc>
          <w:tcPr>
            <w:tcW w:w="20" w:type="dxa"/>
            <w:vAlign w:val="bottom"/>
          </w:tcPr>
          <w:p>
            <w:pPr>
              <w:spacing w:after="0"/>
              <w:rPr>
                <w:sz w:val="8"/>
                <w:szCs w:val="8"/>
                <w:color w:val="auto"/>
              </w:rPr>
            </w:pPr>
          </w:p>
        </w:tc>
        <w:tc>
          <w:tcPr>
            <w:tcW w:w="600" w:type="dxa"/>
            <w:vAlign w:val="bottom"/>
            <w:gridSpan w:val="3"/>
            <w:vMerge w:val="continue"/>
            <w:shd w:val="clear" w:color="auto" w:fill="9ADAF6"/>
          </w:tcPr>
          <w:p>
            <w:pPr>
              <w:spacing w:after="0"/>
              <w:rPr>
                <w:sz w:val="8"/>
                <w:szCs w:val="8"/>
                <w:color w:val="auto"/>
              </w:rPr>
            </w:pPr>
          </w:p>
        </w:tc>
        <w:tc>
          <w:tcPr>
            <w:tcW w:w="80" w:type="dxa"/>
            <w:vAlign w:val="bottom"/>
            <w:shd w:val="clear" w:color="auto" w:fill="9ADAF6"/>
          </w:tcPr>
          <w:p>
            <w:pPr>
              <w:spacing w:after="0"/>
              <w:rPr>
                <w:sz w:val="8"/>
                <w:szCs w:val="8"/>
                <w:color w:val="auto"/>
              </w:rPr>
            </w:pPr>
          </w:p>
        </w:tc>
        <w:tc>
          <w:tcPr>
            <w:tcW w:w="40" w:type="dxa"/>
            <w:vAlign w:val="bottom"/>
            <w:tcBorders>
              <w:right w:val="single" w:sz="8" w:color="9ADAF6"/>
            </w:tcBorders>
          </w:tcPr>
          <w:p>
            <w:pPr>
              <w:spacing w:after="0"/>
              <w:rPr>
                <w:sz w:val="8"/>
                <w:szCs w:val="8"/>
                <w:color w:val="auto"/>
              </w:rPr>
            </w:pPr>
          </w:p>
        </w:tc>
        <w:tc>
          <w:tcPr>
            <w:tcW w:w="92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rPr>
              <w:t>Associated</w:t>
            </w:r>
          </w:p>
        </w:tc>
        <w:tc>
          <w:tcPr>
            <w:tcW w:w="20" w:type="dxa"/>
            <w:vAlign w:val="bottom"/>
          </w:tcPr>
          <w:p>
            <w:pPr>
              <w:spacing w:after="0"/>
              <w:rPr>
                <w:sz w:val="8"/>
                <w:szCs w:val="8"/>
                <w:color w:val="auto"/>
              </w:rPr>
            </w:pPr>
          </w:p>
        </w:tc>
        <w:tc>
          <w:tcPr>
            <w:tcW w:w="940" w:type="dxa"/>
            <w:vAlign w:val="bottom"/>
            <w:gridSpan w:val="3"/>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9"/>
              </w:rPr>
              <w:t>Associated</w:t>
            </w:r>
          </w:p>
        </w:tc>
        <w:tc>
          <w:tcPr>
            <w:tcW w:w="20" w:type="dxa"/>
            <w:vAlign w:val="bottom"/>
          </w:tcPr>
          <w:p>
            <w:pPr>
              <w:spacing w:after="0"/>
              <w:rPr>
                <w:sz w:val="8"/>
                <w:szCs w:val="8"/>
                <w:color w:val="auto"/>
              </w:rPr>
            </w:pPr>
          </w:p>
        </w:tc>
        <w:tc>
          <w:tcPr>
            <w:tcW w:w="940" w:type="dxa"/>
            <w:vAlign w:val="bottom"/>
            <w:gridSpan w:val="3"/>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9"/>
              </w:rPr>
              <w:t>Associated</w:t>
            </w:r>
          </w:p>
        </w:tc>
        <w:tc>
          <w:tcPr>
            <w:tcW w:w="20" w:type="dxa"/>
            <w:vAlign w:val="bottom"/>
          </w:tcPr>
          <w:p>
            <w:pPr>
              <w:spacing w:after="0"/>
              <w:rPr>
                <w:sz w:val="8"/>
                <w:szCs w:val="8"/>
                <w:color w:val="auto"/>
              </w:rPr>
            </w:pPr>
          </w:p>
        </w:tc>
        <w:tc>
          <w:tcPr>
            <w:tcW w:w="980" w:type="dxa"/>
            <w:vAlign w:val="bottom"/>
            <w:gridSpan w:val="3"/>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rPr>
              <w:t>Amount</w:t>
            </w:r>
          </w:p>
        </w:tc>
        <w:tc>
          <w:tcPr>
            <w:tcW w:w="20" w:type="dxa"/>
            <w:vAlign w:val="bottom"/>
          </w:tcPr>
          <w:p>
            <w:pPr>
              <w:spacing w:after="0"/>
              <w:rPr>
                <w:sz w:val="8"/>
                <w:szCs w:val="8"/>
                <w:color w:val="auto"/>
              </w:rPr>
            </w:pPr>
          </w:p>
        </w:tc>
        <w:tc>
          <w:tcPr>
            <w:tcW w:w="64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9"/>
              </w:rPr>
              <w:t>with</w:t>
            </w:r>
          </w:p>
        </w:tc>
        <w:tc>
          <w:tcPr>
            <w:tcW w:w="6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70"/>
        </w:trPr>
        <w:tc>
          <w:tcPr>
            <w:tcW w:w="40" w:type="dxa"/>
            <w:vAlign w:val="bottom"/>
            <w:tcBorders>
              <w:left w:val="single" w:sz="8" w:color="auto"/>
            </w:tcBorders>
          </w:tcPr>
          <w:p>
            <w:pPr>
              <w:spacing w:after="0"/>
              <w:rPr>
                <w:sz w:val="14"/>
                <w:szCs w:val="14"/>
                <w:color w:val="auto"/>
              </w:rPr>
            </w:pPr>
          </w:p>
        </w:tc>
        <w:tc>
          <w:tcPr>
            <w:tcW w:w="440" w:type="dxa"/>
            <w:vAlign w:val="bottom"/>
            <w:shd w:val="clear" w:color="auto" w:fill="9ADAF6"/>
          </w:tcPr>
          <w:p>
            <w:pPr>
              <w:spacing w:after="0"/>
              <w:rPr>
                <w:sz w:val="14"/>
                <w:szCs w:val="14"/>
                <w:color w:val="auto"/>
              </w:rPr>
            </w:pPr>
          </w:p>
        </w:tc>
        <w:tc>
          <w:tcPr>
            <w:tcW w:w="20" w:type="dxa"/>
            <w:vAlign w:val="bottom"/>
            <w:shd w:val="clear" w:color="auto" w:fill="9ADAF6"/>
          </w:tcPr>
          <w:p>
            <w:pPr>
              <w:spacing w:after="0"/>
              <w:rPr>
                <w:sz w:val="14"/>
                <w:szCs w:val="14"/>
                <w:color w:val="auto"/>
              </w:rPr>
            </w:pPr>
          </w:p>
        </w:tc>
        <w:tc>
          <w:tcPr>
            <w:tcW w:w="52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1560" w:type="dxa"/>
            <w:vAlign w:val="bottom"/>
            <w:gridSpan w:val="3"/>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540" w:type="dxa"/>
            <w:vAlign w:val="bottom"/>
            <w:gridSpan w:val="3"/>
            <w:shd w:val="clear" w:color="auto" w:fill="9ADAF6"/>
          </w:tcPr>
          <w:p>
            <w:pPr>
              <w:jc w:val="center"/>
              <w:spacing w:after="0" w:line="170" w:lineRule="exact"/>
              <w:rPr>
                <w:sz w:val="20"/>
                <w:szCs w:val="20"/>
                <w:color w:val="auto"/>
              </w:rPr>
            </w:pPr>
            <w:r>
              <w:rPr>
                <w:rFonts w:ascii="Arial" w:cs="Arial" w:eastAsia="Arial" w:hAnsi="Arial"/>
                <w:sz w:val="17"/>
                <w:szCs w:val="17"/>
                <w:b w:val="1"/>
                <w:bCs w:val="1"/>
                <w:color w:val="auto"/>
              </w:rPr>
              <w:t>Filing</w:t>
            </w:r>
          </w:p>
        </w:tc>
        <w:tc>
          <w:tcPr>
            <w:tcW w:w="8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gridSpan w:val="3"/>
            <w:shd w:val="clear" w:color="auto" w:fill="9ADAF6"/>
          </w:tcPr>
          <w:p>
            <w:pPr>
              <w:jc w:val="center"/>
              <w:spacing w:after="0" w:line="170" w:lineRule="exact"/>
              <w:rPr>
                <w:sz w:val="20"/>
                <w:szCs w:val="20"/>
                <w:color w:val="auto"/>
              </w:rPr>
            </w:pPr>
            <w:r>
              <w:rPr>
                <w:rFonts w:ascii="Arial" w:cs="Arial" w:eastAsia="Arial" w:hAnsi="Arial"/>
                <w:sz w:val="17"/>
                <w:szCs w:val="17"/>
                <w:b w:val="1"/>
                <w:bCs w:val="1"/>
                <w:color w:val="auto"/>
                <w:w w:val="97"/>
              </w:rPr>
              <w:t>Offset</w:t>
            </w:r>
          </w:p>
        </w:tc>
        <w:tc>
          <w:tcPr>
            <w:tcW w:w="80" w:type="dxa"/>
            <w:vAlign w:val="bottom"/>
            <w:shd w:val="clear" w:color="auto" w:fill="9ADAF6"/>
          </w:tcPr>
          <w:p>
            <w:pPr>
              <w:spacing w:after="0"/>
              <w:rPr>
                <w:sz w:val="14"/>
                <w:szCs w:val="14"/>
                <w:color w:val="auto"/>
              </w:rPr>
            </w:pPr>
          </w:p>
        </w:tc>
        <w:tc>
          <w:tcPr>
            <w:tcW w:w="40" w:type="dxa"/>
            <w:vAlign w:val="bottom"/>
            <w:tcBorders>
              <w:right w:val="single" w:sz="8" w:color="9ADAF6"/>
            </w:tcBorders>
          </w:tcPr>
          <w:p>
            <w:pPr>
              <w:spacing w:after="0"/>
              <w:rPr>
                <w:sz w:val="14"/>
                <w:szCs w:val="14"/>
                <w:color w:val="auto"/>
              </w:rPr>
            </w:pPr>
          </w:p>
        </w:tc>
        <w:tc>
          <w:tcPr>
            <w:tcW w:w="92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40" w:type="dxa"/>
            <w:vAlign w:val="bottom"/>
            <w:gridSpan w:val="3"/>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40" w:type="dxa"/>
            <w:vAlign w:val="bottom"/>
            <w:gridSpan w:val="3"/>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80" w:type="dxa"/>
            <w:vAlign w:val="bottom"/>
            <w:gridSpan w:val="3"/>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640" w:type="dxa"/>
            <w:vAlign w:val="bottom"/>
            <w:vMerge w:val="continue"/>
            <w:shd w:val="clear" w:color="auto" w:fill="9ADAF6"/>
          </w:tcPr>
          <w:p>
            <w:pPr>
              <w:spacing w:after="0"/>
              <w:rPr>
                <w:sz w:val="14"/>
                <w:szCs w:val="14"/>
                <w:color w:val="auto"/>
              </w:rPr>
            </w:pPr>
          </w:p>
        </w:tc>
        <w:tc>
          <w:tcPr>
            <w:tcW w:w="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40" w:type="dxa"/>
            <w:vAlign w:val="bottom"/>
            <w:tcBorders>
              <w:left w:val="single" w:sz="8" w:color="auto"/>
            </w:tcBorders>
          </w:tcPr>
          <w:p>
            <w:pPr>
              <w:spacing w:after="0"/>
              <w:rPr>
                <w:sz w:val="16"/>
                <w:szCs w:val="16"/>
                <w:color w:val="auto"/>
              </w:rPr>
            </w:pPr>
          </w:p>
        </w:tc>
        <w:tc>
          <w:tcPr>
            <w:tcW w:w="4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1240" w:type="dxa"/>
            <w:vAlign w:val="bottom"/>
            <w:shd w:val="clear" w:color="auto" w:fill="9ADAF6"/>
          </w:tcPr>
          <w:p>
            <w:pPr>
              <w:jc w:val="center"/>
              <w:ind w:right="255"/>
              <w:spacing w:after="0" w:line="192" w:lineRule="exact"/>
              <w:rPr>
                <w:sz w:val="20"/>
                <w:szCs w:val="20"/>
                <w:color w:val="auto"/>
              </w:rPr>
            </w:pPr>
            <w:r>
              <w:rPr>
                <w:rFonts w:ascii="Arial" w:cs="Arial" w:eastAsia="Arial" w:hAnsi="Arial"/>
                <w:sz w:val="17"/>
                <w:szCs w:val="17"/>
                <w:b w:val="1"/>
                <w:bCs w:val="1"/>
                <w:color w:val="auto"/>
                <w:w w:val="99"/>
              </w:rPr>
              <w:t>Name</w:t>
            </w:r>
          </w:p>
        </w:tc>
        <w:tc>
          <w:tcPr>
            <w:tcW w:w="20" w:type="dxa"/>
            <w:vAlign w:val="bottom"/>
          </w:tcPr>
          <w:p>
            <w:pPr>
              <w:spacing w:after="0"/>
              <w:rPr>
                <w:sz w:val="16"/>
                <w:szCs w:val="16"/>
                <w:color w:val="auto"/>
              </w:rPr>
            </w:pPr>
          </w:p>
        </w:tc>
        <w:tc>
          <w:tcPr>
            <w:tcW w:w="620" w:type="dxa"/>
            <w:vAlign w:val="bottom"/>
            <w:shd w:val="clear" w:color="auto" w:fill="9ADAF6"/>
          </w:tcPr>
          <w:p>
            <w:pPr>
              <w:jc w:val="center"/>
              <w:spacing w:after="0" w:line="192" w:lineRule="exact"/>
              <w:rPr>
                <w:sz w:val="20"/>
                <w:szCs w:val="20"/>
                <w:color w:val="auto"/>
              </w:rPr>
            </w:pPr>
            <w:r>
              <w:rPr>
                <w:rFonts w:ascii="Arial" w:cs="Arial" w:eastAsia="Arial" w:hAnsi="Arial"/>
                <w:sz w:val="17"/>
                <w:szCs w:val="17"/>
                <w:b w:val="1"/>
                <w:bCs w:val="1"/>
                <w:color w:val="auto"/>
                <w:w w:val="96"/>
              </w:rPr>
              <w:t>Filing</w:t>
            </w:r>
          </w:p>
        </w:tc>
        <w:tc>
          <w:tcPr>
            <w:tcW w:w="20" w:type="dxa"/>
            <w:vAlign w:val="bottom"/>
          </w:tcPr>
          <w:p>
            <w:pPr>
              <w:spacing w:after="0"/>
              <w:rPr>
                <w:sz w:val="16"/>
                <w:szCs w:val="16"/>
                <w:color w:val="auto"/>
              </w:rPr>
            </w:pPr>
          </w:p>
        </w:tc>
        <w:tc>
          <w:tcPr>
            <w:tcW w:w="740" w:type="dxa"/>
            <w:vAlign w:val="bottom"/>
            <w:shd w:val="clear" w:color="auto" w:fill="9ADAF6"/>
          </w:tcPr>
          <w:p>
            <w:pPr>
              <w:jc w:val="center"/>
              <w:spacing w:after="0" w:line="192" w:lineRule="exact"/>
              <w:rPr>
                <w:sz w:val="20"/>
                <w:szCs w:val="20"/>
                <w:color w:val="auto"/>
              </w:rPr>
            </w:pPr>
            <w:r>
              <w:rPr>
                <w:rFonts w:ascii="Arial" w:cs="Arial" w:eastAsia="Arial" w:hAnsi="Arial"/>
                <w:sz w:val="17"/>
                <w:szCs w:val="17"/>
                <w:b w:val="1"/>
                <w:bCs w:val="1"/>
                <w:color w:val="auto"/>
                <w:w w:val="99"/>
              </w:rPr>
              <w:t>Number</w:t>
            </w:r>
          </w:p>
        </w:tc>
        <w:tc>
          <w:tcPr>
            <w:tcW w:w="20" w:type="dxa"/>
            <w:vAlign w:val="bottom"/>
          </w:tcPr>
          <w:p>
            <w:pPr>
              <w:spacing w:after="0"/>
              <w:rPr>
                <w:sz w:val="16"/>
                <w:szCs w:val="16"/>
                <w:color w:val="auto"/>
              </w:rPr>
            </w:pPr>
          </w:p>
        </w:tc>
        <w:tc>
          <w:tcPr>
            <w:tcW w:w="540" w:type="dxa"/>
            <w:vAlign w:val="bottom"/>
            <w:gridSpan w:val="3"/>
            <w:shd w:val="clear" w:color="auto" w:fill="9ADAF6"/>
          </w:tcPr>
          <w:p>
            <w:pPr>
              <w:jc w:val="center"/>
              <w:spacing w:after="0" w:line="192" w:lineRule="exact"/>
              <w:rPr>
                <w:sz w:val="20"/>
                <w:szCs w:val="20"/>
                <w:color w:val="auto"/>
              </w:rPr>
            </w:pPr>
            <w:r>
              <w:rPr>
                <w:rFonts w:ascii="Arial" w:cs="Arial" w:eastAsia="Arial" w:hAnsi="Arial"/>
                <w:sz w:val="17"/>
                <w:szCs w:val="17"/>
                <w:b w:val="1"/>
                <w:bCs w:val="1"/>
                <w:color w:val="auto"/>
              </w:rPr>
              <w:t>Date</w:t>
            </w:r>
          </w:p>
        </w:tc>
        <w:tc>
          <w:tcPr>
            <w:tcW w:w="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jc w:val="center"/>
              <w:spacing w:after="0" w:line="192" w:lineRule="exact"/>
              <w:rPr>
                <w:sz w:val="20"/>
                <w:szCs w:val="20"/>
                <w:color w:val="auto"/>
              </w:rPr>
            </w:pPr>
            <w:r>
              <w:rPr>
                <w:rFonts w:ascii="Arial" w:cs="Arial" w:eastAsia="Arial" w:hAnsi="Arial"/>
                <w:sz w:val="17"/>
                <w:szCs w:val="17"/>
                <w:b w:val="1"/>
                <w:bCs w:val="1"/>
                <w:color w:val="auto"/>
                <w:w w:val="97"/>
              </w:rPr>
              <w:t>Date</w:t>
            </w:r>
          </w:p>
        </w:tc>
        <w:tc>
          <w:tcPr>
            <w:tcW w:w="20" w:type="dxa"/>
            <w:vAlign w:val="bottom"/>
          </w:tcPr>
          <w:p>
            <w:pPr>
              <w:spacing w:after="0"/>
              <w:rPr>
                <w:sz w:val="16"/>
                <w:szCs w:val="16"/>
                <w:color w:val="auto"/>
              </w:rPr>
            </w:pPr>
          </w:p>
        </w:tc>
        <w:tc>
          <w:tcPr>
            <w:tcW w:w="680" w:type="dxa"/>
            <w:vAlign w:val="bottom"/>
            <w:gridSpan w:val="4"/>
            <w:shd w:val="clear" w:color="auto" w:fill="9ADAF6"/>
          </w:tcPr>
          <w:p>
            <w:pPr>
              <w:jc w:val="center"/>
              <w:spacing w:after="0" w:line="192" w:lineRule="exact"/>
              <w:rPr>
                <w:sz w:val="20"/>
                <w:szCs w:val="20"/>
                <w:color w:val="auto"/>
              </w:rPr>
            </w:pPr>
            <w:r>
              <w:rPr>
                <w:rFonts w:ascii="Arial" w:cs="Arial" w:eastAsia="Arial" w:hAnsi="Arial"/>
                <w:sz w:val="17"/>
                <w:szCs w:val="17"/>
                <w:b w:val="1"/>
                <w:bCs w:val="1"/>
                <w:color w:val="auto"/>
              </w:rPr>
              <w:t>Claimed</w:t>
            </w:r>
          </w:p>
        </w:tc>
        <w:tc>
          <w:tcPr>
            <w:tcW w:w="40" w:type="dxa"/>
            <w:vAlign w:val="bottom"/>
            <w:tcBorders>
              <w:right w:val="single" w:sz="8" w:color="9ADAF6"/>
            </w:tcBorders>
          </w:tcPr>
          <w:p>
            <w:pPr>
              <w:spacing w:after="0"/>
              <w:rPr>
                <w:sz w:val="16"/>
                <w:szCs w:val="16"/>
                <w:color w:val="auto"/>
              </w:rPr>
            </w:pPr>
          </w:p>
        </w:tc>
        <w:tc>
          <w:tcPr>
            <w:tcW w:w="920" w:type="dxa"/>
            <w:vAlign w:val="bottom"/>
            <w:shd w:val="clear" w:color="auto" w:fill="9ADAF6"/>
          </w:tcPr>
          <w:p>
            <w:pPr>
              <w:jc w:val="center"/>
              <w:spacing w:after="0" w:line="192" w:lineRule="exact"/>
              <w:rPr>
                <w:sz w:val="20"/>
                <w:szCs w:val="20"/>
                <w:color w:val="auto"/>
              </w:rPr>
            </w:pPr>
            <w:r>
              <w:rPr>
                <w:rFonts w:ascii="Arial" w:cs="Arial" w:eastAsia="Arial" w:hAnsi="Arial"/>
                <w:sz w:val="17"/>
                <w:szCs w:val="17"/>
                <w:b w:val="1"/>
                <w:bCs w:val="1"/>
                <w:color w:val="auto"/>
                <w:w w:val="99"/>
              </w:rPr>
              <w:t>with Fee</w:t>
            </w:r>
          </w:p>
        </w:tc>
        <w:tc>
          <w:tcPr>
            <w:tcW w:w="20" w:type="dxa"/>
            <w:vAlign w:val="bottom"/>
          </w:tcPr>
          <w:p>
            <w:pPr>
              <w:spacing w:after="0"/>
              <w:rPr>
                <w:sz w:val="16"/>
                <w:szCs w:val="16"/>
                <w:color w:val="auto"/>
              </w:rPr>
            </w:pPr>
          </w:p>
        </w:tc>
        <w:tc>
          <w:tcPr>
            <w:tcW w:w="940" w:type="dxa"/>
            <w:vAlign w:val="bottom"/>
            <w:gridSpan w:val="3"/>
            <w:shd w:val="clear" w:color="auto" w:fill="9ADAF6"/>
          </w:tcPr>
          <w:p>
            <w:pPr>
              <w:jc w:val="center"/>
              <w:spacing w:after="0" w:line="192" w:lineRule="exact"/>
              <w:rPr>
                <w:sz w:val="20"/>
                <w:szCs w:val="20"/>
                <w:color w:val="auto"/>
              </w:rPr>
            </w:pPr>
            <w:r>
              <w:rPr>
                <w:rFonts w:ascii="Arial" w:cs="Arial" w:eastAsia="Arial" w:hAnsi="Arial"/>
                <w:sz w:val="17"/>
                <w:szCs w:val="17"/>
                <w:b w:val="1"/>
                <w:bCs w:val="1"/>
                <w:color w:val="auto"/>
                <w:w w:val="99"/>
              </w:rPr>
              <w:t>with Fee</w:t>
            </w:r>
          </w:p>
        </w:tc>
        <w:tc>
          <w:tcPr>
            <w:tcW w:w="20" w:type="dxa"/>
            <w:vAlign w:val="bottom"/>
          </w:tcPr>
          <w:p>
            <w:pPr>
              <w:spacing w:after="0"/>
              <w:rPr>
                <w:sz w:val="16"/>
                <w:szCs w:val="16"/>
                <w:color w:val="auto"/>
              </w:rPr>
            </w:pPr>
          </w:p>
        </w:tc>
        <w:tc>
          <w:tcPr>
            <w:tcW w:w="940" w:type="dxa"/>
            <w:vAlign w:val="bottom"/>
            <w:gridSpan w:val="3"/>
            <w:shd w:val="clear" w:color="auto" w:fill="9ADAF6"/>
          </w:tcPr>
          <w:p>
            <w:pPr>
              <w:jc w:val="center"/>
              <w:spacing w:after="0" w:line="192" w:lineRule="exact"/>
              <w:rPr>
                <w:sz w:val="20"/>
                <w:szCs w:val="20"/>
                <w:color w:val="auto"/>
              </w:rPr>
            </w:pPr>
            <w:r>
              <w:rPr>
                <w:rFonts w:ascii="Arial" w:cs="Arial" w:eastAsia="Arial" w:hAnsi="Arial"/>
                <w:sz w:val="17"/>
                <w:szCs w:val="17"/>
                <w:b w:val="1"/>
                <w:bCs w:val="1"/>
                <w:color w:val="auto"/>
                <w:w w:val="99"/>
              </w:rPr>
              <w:t>with Fee</w:t>
            </w:r>
          </w:p>
        </w:tc>
        <w:tc>
          <w:tcPr>
            <w:tcW w:w="20" w:type="dxa"/>
            <w:vAlign w:val="bottom"/>
          </w:tcPr>
          <w:p>
            <w:pPr>
              <w:spacing w:after="0"/>
              <w:rPr>
                <w:sz w:val="16"/>
                <w:szCs w:val="16"/>
                <w:color w:val="auto"/>
              </w:rPr>
            </w:pPr>
          </w:p>
        </w:tc>
        <w:tc>
          <w:tcPr>
            <w:tcW w:w="980" w:type="dxa"/>
            <w:vAlign w:val="bottom"/>
            <w:gridSpan w:val="3"/>
            <w:shd w:val="clear" w:color="auto" w:fill="9ADAF6"/>
          </w:tcPr>
          <w:p>
            <w:pPr>
              <w:jc w:val="center"/>
              <w:spacing w:after="0" w:line="192" w:lineRule="exact"/>
              <w:rPr>
                <w:sz w:val="20"/>
                <w:szCs w:val="20"/>
                <w:color w:val="auto"/>
              </w:rPr>
            </w:pPr>
            <w:r>
              <w:rPr>
                <w:rFonts w:ascii="Arial" w:cs="Arial" w:eastAsia="Arial" w:hAnsi="Arial"/>
                <w:sz w:val="17"/>
                <w:szCs w:val="17"/>
                <w:b w:val="1"/>
                <w:bCs w:val="1"/>
                <w:color w:val="auto"/>
                <w:w w:val="99"/>
              </w:rPr>
              <w:t>Associated</w:t>
            </w:r>
          </w:p>
        </w:tc>
        <w:tc>
          <w:tcPr>
            <w:tcW w:w="20" w:type="dxa"/>
            <w:vAlign w:val="bottom"/>
          </w:tcPr>
          <w:p>
            <w:pPr>
              <w:spacing w:after="0"/>
              <w:rPr>
                <w:sz w:val="16"/>
                <w:szCs w:val="16"/>
                <w:color w:val="auto"/>
              </w:rPr>
            </w:pPr>
          </w:p>
        </w:tc>
        <w:tc>
          <w:tcPr>
            <w:tcW w:w="640" w:type="dxa"/>
            <w:vAlign w:val="bottom"/>
            <w:shd w:val="clear" w:color="auto" w:fill="9ADAF6"/>
          </w:tcPr>
          <w:p>
            <w:pPr>
              <w:jc w:val="center"/>
              <w:spacing w:after="0" w:line="192" w:lineRule="exact"/>
              <w:rPr>
                <w:sz w:val="20"/>
                <w:szCs w:val="20"/>
                <w:color w:val="auto"/>
              </w:rPr>
            </w:pPr>
            <w:r>
              <w:rPr>
                <w:rFonts w:ascii="Arial" w:cs="Arial" w:eastAsia="Arial" w:hAnsi="Arial"/>
                <w:sz w:val="17"/>
                <w:szCs w:val="17"/>
                <w:b w:val="1"/>
                <w:bCs w:val="1"/>
                <w:color w:val="auto"/>
              </w:rPr>
              <w:t>Fee</w:t>
            </w:r>
          </w:p>
        </w:tc>
        <w:tc>
          <w:tcPr>
            <w:tcW w:w="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17"/>
        </w:trPr>
        <w:tc>
          <w:tcPr>
            <w:tcW w:w="40" w:type="dxa"/>
            <w:vAlign w:val="bottom"/>
            <w:tcBorders>
              <w:left w:val="single" w:sz="8" w:color="auto"/>
            </w:tcBorders>
          </w:tcPr>
          <w:p>
            <w:pPr>
              <w:spacing w:after="0"/>
              <w:rPr>
                <w:sz w:val="10"/>
                <w:szCs w:val="10"/>
                <w:color w:val="auto"/>
              </w:rPr>
            </w:pPr>
          </w:p>
        </w:tc>
        <w:tc>
          <w:tcPr>
            <w:tcW w:w="440" w:type="dxa"/>
            <w:vAlign w:val="bottom"/>
            <w:shd w:val="clear" w:color="auto" w:fill="9ADAF6"/>
          </w:tcPr>
          <w:p>
            <w:pPr>
              <w:spacing w:after="0"/>
              <w:rPr>
                <w:sz w:val="10"/>
                <w:szCs w:val="10"/>
                <w:color w:val="auto"/>
              </w:rPr>
            </w:pPr>
          </w:p>
        </w:tc>
        <w:tc>
          <w:tcPr>
            <w:tcW w:w="20" w:type="dxa"/>
            <w:vAlign w:val="bottom"/>
            <w:shd w:val="clear" w:color="auto" w:fill="9ADAF6"/>
          </w:tcPr>
          <w:p>
            <w:pPr>
              <w:spacing w:after="0"/>
              <w:rPr>
                <w:sz w:val="10"/>
                <w:szCs w:val="10"/>
                <w:color w:val="auto"/>
              </w:rPr>
            </w:pPr>
          </w:p>
        </w:tc>
        <w:tc>
          <w:tcPr>
            <w:tcW w:w="52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300" w:type="dxa"/>
            <w:vAlign w:val="bottom"/>
            <w:shd w:val="clear" w:color="auto" w:fill="9ADAF6"/>
          </w:tcPr>
          <w:p>
            <w:pPr>
              <w:spacing w:after="0"/>
              <w:rPr>
                <w:sz w:val="10"/>
                <w:szCs w:val="10"/>
                <w:color w:val="auto"/>
              </w:rPr>
            </w:pPr>
          </w:p>
        </w:tc>
        <w:tc>
          <w:tcPr>
            <w:tcW w:w="20" w:type="dxa"/>
            <w:vAlign w:val="bottom"/>
            <w:shd w:val="clear" w:color="auto" w:fill="9ADAF6"/>
          </w:tcPr>
          <w:p>
            <w:pPr>
              <w:spacing w:after="0"/>
              <w:rPr>
                <w:sz w:val="10"/>
                <w:szCs w:val="10"/>
                <w:color w:val="auto"/>
              </w:rPr>
            </w:pPr>
          </w:p>
        </w:tc>
        <w:tc>
          <w:tcPr>
            <w:tcW w:w="124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shd w:val="clear" w:color="auto" w:fill="9ADAF6"/>
          </w:tcPr>
          <w:p>
            <w:pPr>
              <w:jc w:val="center"/>
              <w:spacing w:after="0" w:line="118" w:lineRule="exact"/>
              <w:rPr>
                <w:sz w:val="20"/>
                <w:szCs w:val="20"/>
                <w:color w:val="auto"/>
              </w:rPr>
            </w:pPr>
            <w:r>
              <w:rPr>
                <w:rFonts w:ascii="Arial" w:cs="Arial" w:eastAsia="Arial" w:hAnsi="Arial"/>
                <w:sz w:val="13"/>
                <w:szCs w:val="13"/>
                <w:b w:val="1"/>
                <w:bCs w:val="1"/>
                <w:color w:val="auto"/>
              </w:rPr>
              <w:t>Type</w:t>
            </w:r>
          </w:p>
        </w:tc>
        <w:tc>
          <w:tcPr>
            <w:tcW w:w="20" w:type="dxa"/>
            <w:vAlign w:val="bottom"/>
          </w:tcPr>
          <w:p>
            <w:pPr>
              <w:spacing w:after="0"/>
              <w:rPr>
                <w:sz w:val="10"/>
                <w:szCs w:val="10"/>
                <w:color w:val="auto"/>
              </w:rPr>
            </w:pPr>
          </w:p>
        </w:tc>
        <w:tc>
          <w:tcPr>
            <w:tcW w:w="74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shd w:val="clear" w:color="auto" w:fill="9ADAF6"/>
          </w:tcPr>
          <w:p>
            <w:pPr>
              <w:spacing w:after="0"/>
              <w:rPr>
                <w:sz w:val="10"/>
                <w:szCs w:val="10"/>
                <w:color w:val="auto"/>
              </w:rPr>
            </w:pPr>
          </w:p>
        </w:tc>
        <w:tc>
          <w:tcPr>
            <w:tcW w:w="20" w:type="dxa"/>
            <w:vAlign w:val="bottom"/>
            <w:shd w:val="clear" w:color="auto" w:fill="9ADAF6"/>
          </w:tcPr>
          <w:p>
            <w:pPr>
              <w:spacing w:after="0"/>
              <w:rPr>
                <w:sz w:val="10"/>
                <w:szCs w:val="10"/>
                <w:color w:val="auto"/>
              </w:rPr>
            </w:pPr>
          </w:p>
        </w:tc>
        <w:tc>
          <w:tcPr>
            <w:tcW w:w="380" w:type="dxa"/>
            <w:vAlign w:val="bottom"/>
            <w:shd w:val="clear" w:color="auto" w:fill="9ADAF6"/>
          </w:tcPr>
          <w:p>
            <w:pPr>
              <w:spacing w:after="0"/>
              <w:rPr>
                <w:sz w:val="10"/>
                <w:szCs w:val="10"/>
                <w:color w:val="auto"/>
              </w:rPr>
            </w:pPr>
          </w:p>
        </w:tc>
        <w:tc>
          <w:tcPr>
            <w:tcW w:w="8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460" w:type="dxa"/>
            <w:vAlign w:val="bottom"/>
            <w:shd w:val="clear" w:color="auto" w:fill="9ADAF6"/>
          </w:tcPr>
          <w:p>
            <w:pPr>
              <w:spacing w:after="0"/>
              <w:rPr>
                <w:sz w:val="10"/>
                <w:szCs w:val="10"/>
                <w:color w:val="auto"/>
              </w:rPr>
            </w:pPr>
          </w:p>
        </w:tc>
        <w:tc>
          <w:tcPr>
            <w:tcW w:w="20" w:type="dxa"/>
            <w:vAlign w:val="bottom"/>
            <w:shd w:val="clear" w:color="auto" w:fill="9ADAF6"/>
          </w:tcPr>
          <w:p>
            <w:pPr>
              <w:spacing w:after="0"/>
              <w:rPr>
                <w:sz w:val="10"/>
                <w:szCs w:val="10"/>
                <w:color w:val="auto"/>
              </w:rPr>
            </w:pPr>
          </w:p>
        </w:tc>
        <w:tc>
          <w:tcPr>
            <w:tcW w:w="120" w:type="dxa"/>
            <w:vAlign w:val="bottom"/>
            <w:shd w:val="clear" w:color="auto" w:fill="9ADAF6"/>
          </w:tcPr>
          <w:p>
            <w:pPr>
              <w:spacing w:after="0"/>
              <w:rPr>
                <w:sz w:val="10"/>
                <w:szCs w:val="10"/>
                <w:color w:val="auto"/>
              </w:rPr>
            </w:pPr>
          </w:p>
        </w:tc>
        <w:tc>
          <w:tcPr>
            <w:tcW w:w="80" w:type="dxa"/>
            <w:vAlign w:val="bottom"/>
            <w:shd w:val="clear" w:color="auto" w:fill="9ADAF6"/>
          </w:tcPr>
          <w:p>
            <w:pPr>
              <w:spacing w:after="0"/>
              <w:rPr>
                <w:sz w:val="10"/>
                <w:szCs w:val="10"/>
                <w:color w:val="auto"/>
              </w:rPr>
            </w:pPr>
          </w:p>
        </w:tc>
        <w:tc>
          <w:tcPr>
            <w:tcW w:w="40" w:type="dxa"/>
            <w:vAlign w:val="bottom"/>
            <w:tcBorders>
              <w:right w:val="single" w:sz="8" w:color="9ADAF6"/>
            </w:tcBorders>
          </w:tcPr>
          <w:p>
            <w:pPr>
              <w:spacing w:after="0"/>
              <w:rPr>
                <w:sz w:val="10"/>
                <w:szCs w:val="10"/>
                <w:color w:val="auto"/>
              </w:rPr>
            </w:pPr>
          </w:p>
        </w:tc>
        <w:tc>
          <w:tcPr>
            <w:tcW w:w="920" w:type="dxa"/>
            <w:vAlign w:val="bottom"/>
            <w:shd w:val="clear" w:color="auto" w:fill="9ADAF6"/>
          </w:tcPr>
          <w:p>
            <w:pPr>
              <w:jc w:val="center"/>
              <w:spacing w:after="0" w:line="118" w:lineRule="exact"/>
              <w:rPr>
                <w:sz w:val="20"/>
                <w:szCs w:val="20"/>
                <w:color w:val="auto"/>
              </w:rPr>
            </w:pPr>
            <w:r>
              <w:rPr>
                <w:rFonts w:ascii="Arial" w:cs="Arial" w:eastAsia="Arial" w:hAnsi="Arial"/>
                <w:sz w:val="13"/>
                <w:szCs w:val="13"/>
                <w:b w:val="1"/>
                <w:bCs w:val="1"/>
                <w:color w:val="auto"/>
              </w:rPr>
              <w:t>Offset</w:t>
            </w:r>
          </w:p>
        </w:tc>
        <w:tc>
          <w:tcPr>
            <w:tcW w:w="20" w:type="dxa"/>
            <w:vAlign w:val="bottom"/>
          </w:tcPr>
          <w:p>
            <w:pPr>
              <w:spacing w:after="0"/>
              <w:rPr>
                <w:sz w:val="10"/>
                <w:szCs w:val="10"/>
                <w:color w:val="auto"/>
              </w:rPr>
            </w:pPr>
          </w:p>
        </w:tc>
        <w:tc>
          <w:tcPr>
            <w:tcW w:w="940" w:type="dxa"/>
            <w:vAlign w:val="bottom"/>
            <w:gridSpan w:val="3"/>
            <w:shd w:val="clear" w:color="auto" w:fill="9ADAF6"/>
          </w:tcPr>
          <w:p>
            <w:pPr>
              <w:jc w:val="center"/>
              <w:spacing w:after="0" w:line="118" w:lineRule="exact"/>
              <w:rPr>
                <w:sz w:val="20"/>
                <w:szCs w:val="20"/>
                <w:color w:val="auto"/>
              </w:rPr>
            </w:pPr>
            <w:r>
              <w:rPr>
                <w:rFonts w:ascii="Arial" w:cs="Arial" w:eastAsia="Arial" w:hAnsi="Arial"/>
                <w:sz w:val="13"/>
                <w:szCs w:val="13"/>
                <w:b w:val="1"/>
                <w:bCs w:val="1"/>
                <w:color w:val="auto"/>
              </w:rPr>
              <w:t>Offset</w:t>
            </w:r>
          </w:p>
        </w:tc>
        <w:tc>
          <w:tcPr>
            <w:tcW w:w="20" w:type="dxa"/>
            <w:vAlign w:val="bottom"/>
          </w:tcPr>
          <w:p>
            <w:pPr>
              <w:spacing w:after="0"/>
              <w:rPr>
                <w:sz w:val="10"/>
                <w:szCs w:val="10"/>
                <w:color w:val="auto"/>
              </w:rPr>
            </w:pPr>
          </w:p>
        </w:tc>
        <w:tc>
          <w:tcPr>
            <w:tcW w:w="940" w:type="dxa"/>
            <w:vAlign w:val="bottom"/>
            <w:gridSpan w:val="3"/>
            <w:shd w:val="clear" w:color="auto" w:fill="9ADAF6"/>
          </w:tcPr>
          <w:p>
            <w:pPr>
              <w:jc w:val="center"/>
              <w:spacing w:after="0" w:line="118" w:lineRule="exact"/>
              <w:rPr>
                <w:sz w:val="20"/>
                <w:szCs w:val="20"/>
                <w:color w:val="auto"/>
              </w:rPr>
            </w:pPr>
            <w:r>
              <w:rPr>
                <w:rFonts w:ascii="Arial" w:cs="Arial" w:eastAsia="Arial" w:hAnsi="Arial"/>
                <w:sz w:val="13"/>
                <w:szCs w:val="13"/>
                <w:b w:val="1"/>
                <w:bCs w:val="1"/>
                <w:color w:val="auto"/>
              </w:rPr>
              <w:t>Offset</w:t>
            </w:r>
          </w:p>
        </w:tc>
        <w:tc>
          <w:tcPr>
            <w:tcW w:w="20" w:type="dxa"/>
            <w:vAlign w:val="bottom"/>
          </w:tcPr>
          <w:p>
            <w:pPr>
              <w:spacing w:after="0"/>
              <w:rPr>
                <w:sz w:val="10"/>
                <w:szCs w:val="10"/>
                <w:color w:val="auto"/>
              </w:rPr>
            </w:pPr>
          </w:p>
        </w:tc>
        <w:tc>
          <w:tcPr>
            <w:tcW w:w="980" w:type="dxa"/>
            <w:vAlign w:val="bottom"/>
            <w:gridSpan w:val="3"/>
            <w:shd w:val="clear" w:color="auto" w:fill="9ADAF6"/>
          </w:tcPr>
          <w:p>
            <w:pPr>
              <w:jc w:val="center"/>
              <w:spacing w:after="0" w:line="118" w:lineRule="exact"/>
              <w:rPr>
                <w:sz w:val="20"/>
                <w:szCs w:val="20"/>
                <w:color w:val="auto"/>
              </w:rPr>
            </w:pPr>
            <w:r>
              <w:rPr>
                <w:rFonts w:ascii="Arial" w:cs="Arial" w:eastAsia="Arial" w:hAnsi="Arial"/>
                <w:sz w:val="13"/>
                <w:szCs w:val="13"/>
                <w:b w:val="1"/>
                <w:bCs w:val="1"/>
                <w:color w:val="auto"/>
              </w:rPr>
              <w:t>with Fee</w:t>
            </w:r>
          </w:p>
        </w:tc>
        <w:tc>
          <w:tcPr>
            <w:tcW w:w="20" w:type="dxa"/>
            <w:vAlign w:val="bottom"/>
          </w:tcPr>
          <w:p>
            <w:pPr>
              <w:spacing w:after="0"/>
              <w:rPr>
                <w:sz w:val="10"/>
                <w:szCs w:val="10"/>
                <w:color w:val="auto"/>
              </w:rPr>
            </w:pPr>
          </w:p>
        </w:tc>
        <w:tc>
          <w:tcPr>
            <w:tcW w:w="640" w:type="dxa"/>
            <w:vAlign w:val="bottom"/>
            <w:shd w:val="clear" w:color="auto" w:fill="9ADAF6"/>
          </w:tcPr>
          <w:p>
            <w:pPr>
              <w:jc w:val="center"/>
              <w:spacing w:after="0" w:line="118" w:lineRule="exact"/>
              <w:rPr>
                <w:sz w:val="20"/>
                <w:szCs w:val="20"/>
                <w:color w:val="auto"/>
              </w:rPr>
            </w:pPr>
            <w:r>
              <w:rPr>
                <w:rFonts w:ascii="Arial" w:cs="Arial" w:eastAsia="Arial" w:hAnsi="Arial"/>
                <w:sz w:val="13"/>
                <w:szCs w:val="13"/>
                <w:b w:val="1"/>
                <w:bCs w:val="1"/>
                <w:color w:val="auto"/>
              </w:rPr>
              <w:t>Offset</w:t>
            </w:r>
          </w:p>
        </w:tc>
        <w:tc>
          <w:tcPr>
            <w:tcW w:w="6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92"/>
        </w:trPr>
        <w:tc>
          <w:tcPr>
            <w:tcW w:w="40" w:type="dxa"/>
            <w:vAlign w:val="bottom"/>
            <w:tcBorders>
              <w:left w:val="single" w:sz="8" w:color="auto"/>
            </w:tcBorders>
          </w:tcPr>
          <w:p>
            <w:pPr>
              <w:spacing w:after="0"/>
              <w:rPr>
                <w:sz w:val="16"/>
                <w:szCs w:val="16"/>
                <w:color w:val="auto"/>
              </w:rPr>
            </w:pPr>
          </w:p>
        </w:tc>
        <w:tc>
          <w:tcPr>
            <w:tcW w:w="4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12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380" w:type="dxa"/>
            <w:vAlign w:val="bottom"/>
            <w:shd w:val="clear" w:color="auto" w:fill="9ADAF6"/>
          </w:tcPr>
          <w:p>
            <w:pPr>
              <w:spacing w:after="0"/>
              <w:rPr>
                <w:sz w:val="16"/>
                <w:szCs w:val="16"/>
                <w:color w:val="auto"/>
              </w:rPr>
            </w:pPr>
          </w:p>
        </w:tc>
        <w:tc>
          <w:tcPr>
            <w:tcW w:w="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46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80" w:type="dxa"/>
            <w:vAlign w:val="bottom"/>
            <w:shd w:val="clear" w:color="auto" w:fill="9ADAF6"/>
          </w:tcPr>
          <w:p>
            <w:pPr>
              <w:spacing w:after="0"/>
              <w:rPr>
                <w:sz w:val="16"/>
                <w:szCs w:val="16"/>
                <w:color w:val="auto"/>
              </w:rPr>
            </w:pPr>
          </w:p>
        </w:tc>
        <w:tc>
          <w:tcPr>
            <w:tcW w:w="40" w:type="dxa"/>
            <w:vAlign w:val="bottom"/>
            <w:tcBorders>
              <w:right w:val="single" w:sz="8" w:color="9ADAF6"/>
            </w:tcBorders>
          </w:tcPr>
          <w:p>
            <w:pPr>
              <w:spacing w:after="0"/>
              <w:rPr>
                <w:sz w:val="16"/>
                <w:szCs w:val="16"/>
                <w:color w:val="auto"/>
              </w:rPr>
            </w:pPr>
          </w:p>
        </w:tc>
        <w:tc>
          <w:tcPr>
            <w:tcW w:w="920" w:type="dxa"/>
            <w:vAlign w:val="bottom"/>
            <w:shd w:val="clear" w:color="auto" w:fill="9ADAF6"/>
          </w:tcPr>
          <w:p>
            <w:pPr>
              <w:jc w:val="center"/>
              <w:spacing w:after="0" w:line="192" w:lineRule="exact"/>
              <w:rPr>
                <w:sz w:val="20"/>
                <w:szCs w:val="20"/>
                <w:color w:val="auto"/>
              </w:rPr>
            </w:pPr>
            <w:r>
              <w:rPr>
                <w:rFonts w:ascii="Arial" w:cs="Arial" w:eastAsia="Arial" w:hAnsi="Arial"/>
                <w:sz w:val="17"/>
                <w:szCs w:val="17"/>
                <w:b w:val="1"/>
                <w:bCs w:val="1"/>
                <w:color w:val="auto"/>
                <w:w w:val="99"/>
              </w:rPr>
              <w:t>Claimed</w:t>
            </w:r>
          </w:p>
        </w:tc>
        <w:tc>
          <w:tcPr>
            <w:tcW w:w="20" w:type="dxa"/>
            <w:vAlign w:val="bottom"/>
          </w:tcPr>
          <w:p>
            <w:pPr>
              <w:spacing w:after="0"/>
              <w:rPr>
                <w:sz w:val="16"/>
                <w:szCs w:val="16"/>
                <w:color w:val="auto"/>
              </w:rPr>
            </w:pPr>
          </w:p>
        </w:tc>
        <w:tc>
          <w:tcPr>
            <w:tcW w:w="940" w:type="dxa"/>
            <w:vAlign w:val="bottom"/>
            <w:gridSpan w:val="3"/>
            <w:shd w:val="clear" w:color="auto" w:fill="9ADAF6"/>
          </w:tcPr>
          <w:p>
            <w:pPr>
              <w:jc w:val="center"/>
              <w:spacing w:after="0" w:line="192" w:lineRule="exact"/>
              <w:rPr>
                <w:sz w:val="20"/>
                <w:szCs w:val="20"/>
                <w:color w:val="auto"/>
              </w:rPr>
            </w:pPr>
            <w:r>
              <w:rPr>
                <w:rFonts w:ascii="Arial" w:cs="Arial" w:eastAsia="Arial" w:hAnsi="Arial"/>
                <w:sz w:val="17"/>
                <w:szCs w:val="17"/>
                <w:b w:val="1"/>
                <w:bCs w:val="1"/>
                <w:color w:val="auto"/>
                <w:w w:val="99"/>
              </w:rPr>
              <w:t>Claimed</w:t>
            </w:r>
          </w:p>
        </w:tc>
        <w:tc>
          <w:tcPr>
            <w:tcW w:w="20" w:type="dxa"/>
            <w:vAlign w:val="bottom"/>
          </w:tcPr>
          <w:p>
            <w:pPr>
              <w:spacing w:after="0"/>
              <w:rPr>
                <w:sz w:val="16"/>
                <w:szCs w:val="16"/>
                <w:color w:val="auto"/>
              </w:rPr>
            </w:pPr>
          </w:p>
        </w:tc>
        <w:tc>
          <w:tcPr>
            <w:tcW w:w="940" w:type="dxa"/>
            <w:vAlign w:val="bottom"/>
            <w:gridSpan w:val="3"/>
            <w:shd w:val="clear" w:color="auto" w:fill="9ADAF6"/>
          </w:tcPr>
          <w:p>
            <w:pPr>
              <w:jc w:val="center"/>
              <w:spacing w:after="0" w:line="192" w:lineRule="exact"/>
              <w:rPr>
                <w:sz w:val="20"/>
                <w:szCs w:val="20"/>
                <w:color w:val="auto"/>
              </w:rPr>
            </w:pPr>
            <w:r>
              <w:rPr>
                <w:rFonts w:ascii="Arial" w:cs="Arial" w:eastAsia="Arial" w:hAnsi="Arial"/>
                <w:sz w:val="17"/>
                <w:szCs w:val="17"/>
                <w:b w:val="1"/>
                <w:bCs w:val="1"/>
                <w:color w:val="auto"/>
                <w:w w:val="99"/>
              </w:rPr>
              <w:t>Claimed</w:t>
            </w:r>
          </w:p>
        </w:tc>
        <w:tc>
          <w:tcPr>
            <w:tcW w:w="20" w:type="dxa"/>
            <w:vAlign w:val="bottom"/>
          </w:tcPr>
          <w:p>
            <w:pPr>
              <w:spacing w:after="0"/>
              <w:rPr>
                <w:sz w:val="16"/>
                <w:szCs w:val="16"/>
                <w:color w:val="auto"/>
              </w:rPr>
            </w:pPr>
          </w:p>
        </w:tc>
        <w:tc>
          <w:tcPr>
            <w:tcW w:w="980" w:type="dxa"/>
            <w:vAlign w:val="bottom"/>
            <w:gridSpan w:val="3"/>
            <w:shd w:val="clear" w:color="auto" w:fill="9ADAF6"/>
          </w:tcPr>
          <w:p>
            <w:pPr>
              <w:jc w:val="center"/>
              <w:spacing w:after="0" w:line="192" w:lineRule="exact"/>
              <w:rPr>
                <w:sz w:val="20"/>
                <w:szCs w:val="20"/>
                <w:color w:val="auto"/>
              </w:rPr>
            </w:pPr>
            <w:r>
              <w:rPr>
                <w:rFonts w:ascii="Arial" w:cs="Arial" w:eastAsia="Arial" w:hAnsi="Arial"/>
                <w:sz w:val="17"/>
                <w:szCs w:val="17"/>
                <w:b w:val="1"/>
                <w:bCs w:val="1"/>
                <w:color w:val="auto"/>
              </w:rPr>
              <w:t>Offset</w:t>
            </w:r>
          </w:p>
        </w:tc>
        <w:tc>
          <w:tcPr>
            <w:tcW w:w="20" w:type="dxa"/>
            <w:vAlign w:val="bottom"/>
          </w:tcPr>
          <w:p>
            <w:pPr>
              <w:spacing w:after="0"/>
              <w:rPr>
                <w:sz w:val="16"/>
                <w:szCs w:val="16"/>
                <w:color w:val="auto"/>
              </w:rPr>
            </w:pPr>
          </w:p>
        </w:tc>
        <w:tc>
          <w:tcPr>
            <w:tcW w:w="640" w:type="dxa"/>
            <w:vAlign w:val="bottom"/>
            <w:shd w:val="clear" w:color="auto" w:fill="9ADAF6"/>
          </w:tcPr>
          <w:p>
            <w:pPr>
              <w:jc w:val="center"/>
              <w:spacing w:after="0" w:line="192" w:lineRule="exact"/>
              <w:rPr>
                <w:sz w:val="20"/>
                <w:szCs w:val="20"/>
                <w:color w:val="auto"/>
              </w:rPr>
            </w:pPr>
            <w:r>
              <w:rPr>
                <w:rFonts w:ascii="Arial" w:cs="Arial" w:eastAsia="Arial" w:hAnsi="Arial"/>
                <w:sz w:val="17"/>
                <w:szCs w:val="17"/>
                <w:b w:val="1"/>
                <w:bCs w:val="1"/>
                <w:color w:val="auto"/>
              </w:rPr>
              <w:t>Source</w:t>
            </w:r>
          </w:p>
        </w:tc>
        <w:tc>
          <w:tcPr>
            <w:tcW w:w="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40" w:type="dxa"/>
            <w:vAlign w:val="bottom"/>
            <w:tcBorders>
              <w:left w:val="single" w:sz="8" w:color="auto"/>
            </w:tcBorders>
          </w:tcPr>
          <w:p>
            <w:pPr>
              <w:spacing w:after="0"/>
              <w:rPr>
                <w:sz w:val="19"/>
                <w:szCs w:val="19"/>
                <w:color w:val="auto"/>
              </w:rPr>
            </w:pPr>
          </w:p>
        </w:tc>
        <w:tc>
          <w:tcPr>
            <w:tcW w:w="440" w:type="dxa"/>
            <w:vAlign w:val="bottom"/>
            <w:shd w:val="clear" w:color="auto" w:fill="9ADAF6"/>
          </w:tcPr>
          <w:p>
            <w:pPr>
              <w:spacing w:after="0"/>
              <w:rPr>
                <w:sz w:val="19"/>
                <w:szCs w:val="19"/>
                <w:color w:val="auto"/>
              </w:rPr>
            </w:pPr>
          </w:p>
        </w:tc>
        <w:tc>
          <w:tcPr>
            <w:tcW w:w="20" w:type="dxa"/>
            <w:vAlign w:val="bottom"/>
            <w:shd w:val="clear" w:color="auto" w:fill="9ADAF6"/>
          </w:tcPr>
          <w:p>
            <w:pPr>
              <w:spacing w:after="0"/>
              <w:rPr>
                <w:sz w:val="19"/>
                <w:szCs w:val="19"/>
                <w:color w:val="auto"/>
              </w:rPr>
            </w:pPr>
          </w:p>
        </w:tc>
        <w:tc>
          <w:tcPr>
            <w:tcW w:w="5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shd w:val="clear" w:color="auto" w:fill="9ADAF6"/>
          </w:tcPr>
          <w:p>
            <w:pPr>
              <w:spacing w:after="0"/>
              <w:rPr>
                <w:sz w:val="19"/>
                <w:szCs w:val="19"/>
                <w:color w:val="auto"/>
              </w:rPr>
            </w:pPr>
          </w:p>
        </w:tc>
        <w:tc>
          <w:tcPr>
            <w:tcW w:w="20" w:type="dxa"/>
            <w:vAlign w:val="bottom"/>
            <w:shd w:val="clear" w:color="auto" w:fill="9ADAF6"/>
          </w:tcPr>
          <w:p>
            <w:pPr>
              <w:spacing w:after="0"/>
              <w:rPr>
                <w:sz w:val="19"/>
                <w:szCs w:val="19"/>
                <w:color w:val="auto"/>
              </w:rPr>
            </w:pPr>
          </w:p>
        </w:tc>
        <w:tc>
          <w:tcPr>
            <w:tcW w:w="124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shd w:val="clear" w:color="auto" w:fill="9ADAF6"/>
          </w:tcPr>
          <w:p>
            <w:pPr>
              <w:spacing w:after="0"/>
              <w:rPr>
                <w:sz w:val="19"/>
                <w:szCs w:val="19"/>
                <w:color w:val="auto"/>
              </w:rPr>
            </w:pPr>
          </w:p>
        </w:tc>
        <w:tc>
          <w:tcPr>
            <w:tcW w:w="20" w:type="dxa"/>
            <w:vAlign w:val="bottom"/>
            <w:shd w:val="clear" w:color="auto" w:fill="9ADAF6"/>
          </w:tcPr>
          <w:p>
            <w:pPr>
              <w:spacing w:after="0"/>
              <w:rPr>
                <w:sz w:val="19"/>
                <w:szCs w:val="19"/>
                <w:color w:val="auto"/>
              </w:rPr>
            </w:pPr>
          </w:p>
        </w:tc>
        <w:tc>
          <w:tcPr>
            <w:tcW w:w="380" w:type="dxa"/>
            <w:vAlign w:val="bottom"/>
            <w:shd w:val="clear" w:color="auto" w:fill="9ADAF6"/>
          </w:tcPr>
          <w:p>
            <w:pPr>
              <w:spacing w:after="0"/>
              <w:rPr>
                <w:sz w:val="19"/>
                <w:szCs w:val="19"/>
                <w:color w:val="auto"/>
              </w:rPr>
            </w:pPr>
          </w:p>
        </w:tc>
        <w:tc>
          <w:tcPr>
            <w:tcW w:w="8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shd w:val="clear" w:color="auto" w:fill="9ADAF6"/>
          </w:tcPr>
          <w:p>
            <w:pPr>
              <w:spacing w:after="0"/>
              <w:rPr>
                <w:sz w:val="19"/>
                <w:szCs w:val="19"/>
                <w:color w:val="auto"/>
              </w:rPr>
            </w:pPr>
          </w:p>
        </w:tc>
        <w:tc>
          <w:tcPr>
            <w:tcW w:w="20" w:type="dxa"/>
            <w:vAlign w:val="bottom"/>
            <w:shd w:val="clear" w:color="auto" w:fill="9ADAF6"/>
          </w:tcPr>
          <w:p>
            <w:pPr>
              <w:spacing w:after="0"/>
              <w:rPr>
                <w:sz w:val="19"/>
                <w:szCs w:val="19"/>
                <w:color w:val="auto"/>
              </w:rPr>
            </w:pPr>
          </w:p>
        </w:tc>
        <w:tc>
          <w:tcPr>
            <w:tcW w:w="120" w:type="dxa"/>
            <w:vAlign w:val="bottom"/>
            <w:shd w:val="clear" w:color="auto" w:fill="9ADAF6"/>
          </w:tcPr>
          <w:p>
            <w:pPr>
              <w:spacing w:after="0"/>
              <w:rPr>
                <w:sz w:val="19"/>
                <w:szCs w:val="19"/>
                <w:color w:val="auto"/>
              </w:rPr>
            </w:pPr>
          </w:p>
        </w:tc>
        <w:tc>
          <w:tcPr>
            <w:tcW w:w="80" w:type="dxa"/>
            <w:vAlign w:val="bottom"/>
            <w:shd w:val="clear" w:color="auto" w:fill="9ADAF6"/>
          </w:tcPr>
          <w:p>
            <w:pPr>
              <w:spacing w:after="0"/>
              <w:rPr>
                <w:sz w:val="19"/>
                <w:szCs w:val="19"/>
                <w:color w:val="auto"/>
              </w:rPr>
            </w:pPr>
          </w:p>
        </w:tc>
        <w:tc>
          <w:tcPr>
            <w:tcW w:w="40" w:type="dxa"/>
            <w:vAlign w:val="bottom"/>
            <w:tcBorders>
              <w:right w:val="single" w:sz="8" w:color="9ADAF6"/>
            </w:tcBorders>
          </w:tcPr>
          <w:p>
            <w:pPr>
              <w:spacing w:after="0"/>
              <w:rPr>
                <w:sz w:val="19"/>
                <w:szCs w:val="19"/>
                <w:color w:val="auto"/>
              </w:rPr>
            </w:pPr>
          </w:p>
        </w:tc>
        <w:tc>
          <w:tcPr>
            <w:tcW w:w="9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840" w:type="dxa"/>
            <w:vAlign w:val="bottom"/>
            <w:shd w:val="clear" w:color="auto" w:fill="9ADAF6"/>
          </w:tcPr>
          <w:p>
            <w:pPr>
              <w:spacing w:after="0"/>
              <w:rPr>
                <w:sz w:val="19"/>
                <w:szCs w:val="19"/>
                <w:color w:val="auto"/>
              </w:rPr>
            </w:pPr>
          </w:p>
        </w:tc>
        <w:tc>
          <w:tcPr>
            <w:tcW w:w="20" w:type="dxa"/>
            <w:vAlign w:val="bottom"/>
            <w:shd w:val="clear" w:color="auto" w:fill="9ADAF6"/>
          </w:tcPr>
          <w:p>
            <w:pPr>
              <w:spacing w:after="0"/>
              <w:rPr>
                <w:sz w:val="19"/>
                <w:szCs w:val="19"/>
                <w:color w:val="auto"/>
              </w:rPr>
            </w:pPr>
          </w:p>
        </w:tc>
        <w:tc>
          <w:tcPr>
            <w:tcW w:w="8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560" w:type="dxa"/>
            <w:vAlign w:val="bottom"/>
            <w:shd w:val="clear" w:color="auto" w:fill="9ADAF6"/>
          </w:tcPr>
          <w:p>
            <w:pPr>
              <w:spacing w:after="0"/>
              <w:rPr>
                <w:sz w:val="19"/>
                <w:szCs w:val="19"/>
                <w:color w:val="auto"/>
              </w:rPr>
            </w:pPr>
          </w:p>
        </w:tc>
        <w:tc>
          <w:tcPr>
            <w:tcW w:w="20" w:type="dxa"/>
            <w:vAlign w:val="bottom"/>
            <w:shd w:val="clear" w:color="auto" w:fill="9ADAF6"/>
          </w:tcPr>
          <w:p>
            <w:pPr>
              <w:spacing w:after="0"/>
              <w:rPr>
                <w:sz w:val="19"/>
                <w:szCs w:val="19"/>
                <w:color w:val="auto"/>
              </w:rPr>
            </w:pPr>
          </w:p>
        </w:tc>
        <w:tc>
          <w:tcPr>
            <w:tcW w:w="36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980" w:type="dxa"/>
            <w:vAlign w:val="bottom"/>
            <w:gridSpan w:val="3"/>
            <w:shd w:val="clear" w:color="auto" w:fill="9ADAF6"/>
          </w:tcPr>
          <w:p>
            <w:pPr>
              <w:jc w:val="center"/>
              <w:spacing w:after="0"/>
              <w:rPr>
                <w:sz w:val="20"/>
                <w:szCs w:val="20"/>
                <w:color w:val="auto"/>
              </w:rPr>
            </w:pPr>
            <w:r>
              <w:rPr>
                <w:rFonts w:ascii="Arial" w:cs="Arial" w:eastAsia="Arial" w:hAnsi="Arial"/>
                <w:sz w:val="17"/>
                <w:szCs w:val="17"/>
                <w:b w:val="1"/>
                <w:bCs w:val="1"/>
                <w:color w:val="auto"/>
                <w:w w:val="99"/>
              </w:rPr>
              <w:t>Claimed</w:t>
            </w:r>
          </w:p>
        </w:tc>
        <w:tc>
          <w:tcPr>
            <w:tcW w:w="20" w:type="dxa"/>
            <w:vAlign w:val="bottom"/>
          </w:tcPr>
          <w:p>
            <w:pPr>
              <w:spacing w:after="0"/>
              <w:rPr>
                <w:sz w:val="19"/>
                <w:szCs w:val="19"/>
                <w:color w:val="auto"/>
              </w:rPr>
            </w:pPr>
          </w:p>
        </w:tc>
        <w:tc>
          <w:tcPr>
            <w:tcW w:w="640" w:type="dxa"/>
            <w:vAlign w:val="bottom"/>
            <w:shd w:val="clear" w:color="auto" w:fill="9ADAF6"/>
          </w:tcPr>
          <w:p>
            <w:pPr>
              <w:spacing w:after="0"/>
              <w:rPr>
                <w:sz w:val="19"/>
                <w:szCs w:val="19"/>
                <w:color w:val="auto"/>
              </w:rPr>
            </w:pPr>
          </w:p>
        </w:tc>
        <w:tc>
          <w:tcPr>
            <w:tcW w:w="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40" w:type="dxa"/>
            <w:vAlign w:val="bottom"/>
            <w:tcBorders>
              <w:left w:val="single" w:sz="8" w:color="auto"/>
            </w:tcBorders>
          </w:tcPr>
          <w:p>
            <w:pPr>
              <w:spacing w:after="0"/>
              <w:rPr>
                <w:sz w:val="21"/>
                <w:szCs w:val="21"/>
                <w:color w:val="auto"/>
              </w:rPr>
            </w:pPr>
          </w:p>
        </w:tc>
        <w:tc>
          <w:tcPr>
            <w:tcW w:w="4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760" w:type="dxa"/>
            <w:vAlign w:val="bottom"/>
            <w:gridSpan w:val="14"/>
          </w:tcPr>
          <w:p>
            <w:pPr>
              <w:jc w:val="center"/>
              <w:ind w:left="515"/>
              <w:spacing w:after="0"/>
              <w:rPr>
                <w:sz w:val="20"/>
                <w:szCs w:val="20"/>
                <w:color w:val="auto"/>
              </w:rPr>
            </w:pPr>
            <w:r>
              <w:rPr>
                <w:rFonts w:ascii="Arial" w:cs="Arial" w:eastAsia="Arial" w:hAnsi="Arial"/>
                <w:sz w:val="17"/>
                <w:szCs w:val="17"/>
                <w:b w:val="1"/>
                <w:bCs w:val="1"/>
                <w:color w:val="auto"/>
                <w:w w:val="99"/>
              </w:rPr>
              <w:t>Rules 457(b) and 0-11(a)(2)</w:t>
            </w:r>
          </w:p>
        </w:tc>
        <w:tc>
          <w:tcPr>
            <w:tcW w:w="9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94"/>
        </w:trPr>
        <w:tc>
          <w:tcPr>
            <w:tcW w:w="40" w:type="dxa"/>
            <w:vAlign w:val="bottom"/>
            <w:tcBorders>
              <w:left w:val="single" w:sz="8" w:color="auto"/>
            </w:tcBorders>
          </w:tcPr>
          <w:p>
            <w:pPr>
              <w:spacing w:after="0"/>
              <w:rPr>
                <w:sz w:val="16"/>
                <w:szCs w:val="16"/>
                <w:color w:val="auto"/>
              </w:rPr>
            </w:pPr>
          </w:p>
        </w:tc>
        <w:tc>
          <w:tcPr>
            <w:tcW w:w="980" w:type="dxa"/>
            <w:vAlign w:val="bottom"/>
            <w:gridSpan w:val="3"/>
            <w:shd w:val="clear" w:color="auto" w:fill="E7E7E2"/>
          </w:tcPr>
          <w:p>
            <w:pPr>
              <w:spacing w:after="0" w:line="194" w:lineRule="exact"/>
              <w:rPr>
                <w:sz w:val="20"/>
                <w:szCs w:val="20"/>
                <w:color w:val="auto"/>
              </w:rPr>
            </w:pPr>
            <w:r>
              <w:rPr>
                <w:rFonts w:ascii="Arial" w:cs="Arial" w:eastAsia="Arial" w:hAnsi="Arial"/>
                <w:sz w:val="17"/>
                <w:szCs w:val="17"/>
                <w:color w:val="auto"/>
              </w:rPr>
              <w:t>Fee Offset</w:t>
            </w: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12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380" w:type="dxa"/>
            <w:vAlign w:val="bottom"/>
            <w:shd w:val="clear" w:color="auto" w:fill="E7E7E2"/>
          </w:tcPr>
          <w:p>
            <w:pPr>
              <w:spacing w:after="0"/>
              <w:rPr>
                <w:sz w:val="16"/>
                <w:szCs w:val="16"/>
                <w:color w:val="auto"/>
              </w:rPr>
            </w:pPr>
          </w:p>
        </w:tc>
        <w:tc>
          <w:tcPr>
            <w:tcW w:w="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46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80" w:type="dxa"/>
            <w:vAlign w:val="bottom"/>
            <w:shd w:val="clear" w:color="auto" w:fill="E7E7E2"/>
          </w:tcPr>
          <w:p>
            <w:pPr>
              <w:spacing w:after="0"/>
              <w:rPr>
                <w:sz w:val="16"/>
                <w:szCs w:val="16"/>
                <w:color w:val="auto"/>
              </w:rPr>
            </w:pPr>
          </w:p>
        </w:tc>
        <w:tc>
          <w:tcPr>
            <w:tcW w:w="40" w:type="dxa"/>
            <w:vAlign w:val="bottom"/>
            <w:tcBorders>
              <w:right w:val="single" w:sz="8" w:color="E7E7E2"/>
            </w:tcBorders>
          </w:tcPr>
          <w:p>
            <w:pPr>
              <w:spacing w:after="0"/>
              <w:rPr>
                <w:sz w:val="16"/>
                <w:szCs w:val="16"/>
                <w:color w:val="auto"/>
              </w:rPr>
            </w:pPr>
          </w:p>
        </w:tc>
        <w:tc>
          <w:tcPr>
            <w:tcW w:w="9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4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56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3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2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40" w:type="dxa"/>
            <w:vAlign w:val="bottom"/>
            <w:shd w:val="clear" w:color="auto" w:fill="E7E7E2"/>
          </w:tcPr>
          <w:p>
            <w:pPr>
              <w:spacing w:after="0"/>
              <w:rPr>
                <w:sz w:val="16"/>
                <w:szCs w:val="16"/>
                <w:color w:val="auto"/>
              </w:rPr>
            </w:pPr>
          </w:p>
        </w:tc>
        <w:tc>
          <w:tcPr>
            <w:tcW w:w="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40" w:type="dxa"/>
            <w:vAlign w:val="bottom"/>
            <w:tcBorders>
              <w:left w:val="single" w:sz="8" w:color="auto"/>
            </w:tcBorders>
          </w:tcPr>
          <w:p>
            <w:pPr>
              <w:spacing w:after="0"/>
              <w:rPr>
                <w:sz w:val="19"/>
                <w:szCs w:val="19"/>
                <w:color w:val="auto"/>
              </w:rPr>
            </w:pPr>
          </w:p>
        </w:tc>
        <w:tc>
          <w:tcPr>
            <w:tcW w:w="980" w:type="dxa"/>
            <w:vAlign w:val="bottom"/>
            <w:gridSpan w:val="3"/>
            <w:shd w:val="clear" w:color="auto" w:fill="E7E7E2"/>
          </w:tcPr>
          <w:p>
            <w:pPr>
              <w:spacing w:after="0"/>
              <w:rPr>
                <w:sz w:val="20"/>
                <w:szCs w:val="20"/>
                <w:color w:val="auto"/>
              </w:rPr>
            </w:pPr>
            <w:r>
              <w:rPr>
                <w:rFonts w:ascii="Arial" w:cs="Arial" w:eastAsia="Arial" w:hAnsi="Arial"/>
                <w:sz w:val="17"/>
                <w:szCs w:val="17"/>
                <w:color w:val="auto"/>
              </w:rPr>
              <w:t>Claims</w:t>
            </w:r>
          </w:p>
        </w:tc>
        <w:tc>
          <w:tcPr>
            <w:tcW w:w="20" w:type="dxa"/>
            <w:vAlign w:val="bottom"/>
          </w:tcPr>
          <w:p>
            <w:pPr>
              <w:spacing w:after="0"/>
              <w:rPr>
                <w:sz w:val="19"/>
                <w:szCs w:val="19"/>
                <w:color w:val="auto"/>
              </w:rPr>
            </w:pPr>
          </w:p>
        </w:tc>
        <w:tc>
          <w:tcPr>
            <w:tcW w:w="6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12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380" w:type="dxa"/>
            <w:vAlign w:val="bottom"/>
            <w:shd w:val="clear" w:color="auto" w:fill="E7E7E2"/>
          </w:tcPr>
          <w:p>
            <w:pPr>
              <w:spacing w:after="0"/>
              <w:rPr>
                <w:sz w:val="19"/>
                <w:szCs w:val="19"/>
                <w:color w:val="auto"/>
              </w:rPr>
            </w:pPr>
          </w:p>
        </w:tc>
        <w:tc>
          <w:tcPr>
            <w:tcW w:w="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120" w:type="dxa"/>
            <w:vAlign w:val="bottom"/>
            <w:shd w:val="clear" w:color="auto" w:fill="E7E7E2"/>
          </w:tcPr>
          <w:p>
            <w:pPr>
              <w:spacing w:after="0"/>
              <w:rPr>
                <w:sz w:val="19"/>
                <w:szCs w:val="19"/>
                <w:color w:val="auto"/>
              </w:rPr>
            </w:pPr>
          </w:p>
        </w:tc>
        <w:tc>
          <w:tcPr>
            <w:tcW w:w="80" w:type="dxa"/>
            <w:vAlign w:val="bottom"/>
            <w:shd w:val="clear" w:color="auto" w:fill="E7E7E2"/>
          </w:tcPr>
          <w:p>
            <w:pPr>
              <w:spacing w:after="0"/>
              <w:rPr>
                <w:sz w:val="19"/>
                <w:szCs w:val="19"/>
                <w:color w:val="auto"/>
              </w:rPr>
            </w:pPr>
          </w:p>
        </w:tc>
        <w:tc>
          <w:tcPr>
            <w:tcW w:w="40" w:type="dxa"/>
            <w:vAlign w:val="bottom"/>
            <w:tcBorders>
              <w:right w:val="single" w:sz="8" w:color="E7E7E2"/>
            </w:tcBorders>
          </w:tcPr>
          <w:p>
            <w:pPr>
              <w:spacing w:after="0"/>
              <w:rPr>
                <w:sz w:val="19"/>
                <w:szCs w:val="19"/>
                <w:color w:val="auto"/>
              </w:rPr>
            </w:pPr>
          </w:p>
        </w:tc>
        <w:tc>
          <w:tcPr>
            <w:tcW w:w="9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4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56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3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2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40" w:type="dxa"/>
            <w:vAlign w:val="bottom"/>
            <w:shd w:val="clear" w:color="auto" w:fill="E7E7E2"/>
          </w:tcPr>
          <w:p>
            <w:pPr>
              <w:spacing w:after="0"/>
              <w:rPr>
                <w:sz w:val="19"/>
                <w:szCs w:val="19"/>
                <w:color w:val="auto"/>
              </w:rPr>
            </w:pPr>
          </w:p>
        </w:tc>
        <w:tc>
          <w:tcPr>
            <w:tcW w:w="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 w:type="dxa"/>
            <w:vAlign w:val="bottom"/>
            <w:tcBorders>
              <w:left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40" w:type="dxa"/>
            <w:vAlign w:val="bottom"/>
            <w:tcBorders>
              <w:left w:val="single" w:sz="8" w:color="auto"/>
            </w:tcBorders>
          </w:tcPr>
          <w:p>
            <w:pPr>
              <w:spacing w:after="0"/>
              <w:rPr>
                <w:sz w:val="15"/>
                <w:szCs w:val="15"/>
                <w:color w:val="auto"/>
              </w:rPr>
            </w:pPr>
          </w:p>
        </w:tc>
        <w:tc>
          <w:tcPr>
            <w:tcW w:w="980" w:type="dxa"/>
            <w:vAlign w:val="bottom"/>
            <w:gridSpan w:val="3"/>
            <w:shd w:val="clear" w:color="auto" w:fill="E7E7E2"/>
          </w:tcPr>
          <w:p>
            <w:pPr>
              <w:spacing w:after="0" w:line="181" w:lineRule="exact"/>
              <w:rPr>
                <w:sz w:val="20"/>
                <w:szCs w:val="20"/>
                <w:color w:val="auto"/>
              </w:rPr>
            </w:pPr>
            <w:r>
              <w:rPr>
                <w:rFonts w:ascii="Arial" w:cs="Arial" w:eastAsia="Arial" w:hAnsi="Arial"/>
                <w:sz w:val="17"/>
                <w:szCs w:val="17"/>
                <w:color w:val="auto"/>
              </w:rPr>
              <w:t>Fee Offset</w:t>
            </w:r>
          </w:p>
        </w:tc>
        <w:tc>
          <w:tcPr>
            <w:tcW w:w="20" w:type="dxa"/>
            <w:vAlign w:val="bottom"/>
            <w:vMerge w:val="continue"/>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vMerge w:val="continue"/>
          </w:tcPr>
          <w:p>
            <w:pPr>
              <w:spacing w:after="0"/>
              <w:rPr>
                <w:sz w:val="15"/>
                <w:szCs w:val="15"/>
                <w:color w:val="auto"/>
              </w:rPr>
            </w:pPr>
          </w:p>
        </w:tc>
        <w:tc>
          <w:tcPr>
            <w:tcW w:w="30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12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380" w:type="dxa"/>
            <w:vAlign w:val="bottom"/>
            <w:shd w:val="clear" w:color="auto" w:fill="E7E7E2"/>
          </w:tcPr>
          <w:p>
            <w:pPr>
              <w:spacing w:after="0"/>
              <w:rPr>
                <w:sz w:val="15"/>
                <w:szCs w:val="15"/>
                <w:color w:val="auto"/>
              </w:rPr>
            </w:pPr>
          </w:p>
        </w:tc>
        <w:tc>
          <w:tcPr>
            <w:tcW w:w="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120" w:type="dxa"/>
            <w:vAlign w:val="bottom"/>
            <w:shd w:val="clear" w:color="auto" w:fill="E7E7E2"/>
          </w:tcPr>
          <w:p>
            <w:pPr>
              <w:spacing w:after="0"/>
              <w:rPr>
                <w:sz w:val="15"/>
                <w:szCs w:val="15"/>
                <w:color w:val="auto"/>
              </w:rPr>
            </w:pPr>
          </w:p>
        </w:tc>
        <w:tc>
          <w:tcPr>
            <w:tcW w:w="80" w:type="dxa"/>
            <w:vAlign w:val="bottom"/>
            <w:shd w:val="clear" w:color="auto" w:fill="E7E7E2"/>
          </w:tcPr>
          <w:p>
            <w:pPr>
              <w:spacing w:after="0"/>
              <w:rPr>
                <w:sz w:val="15"/>
                <w:szCs w:val="15"/>
                <w:color w:val="auto"/>
              </w:rPr>
            </w:pPr>
          </w:p>
        </w:tc>
        <w:tc>
          <w:tcPr>
            <w:tcW w:w="40" w:type="dxa"/>
            <w:vAlign w:val="bottom"/>
            <w:tcBorders>
              <w:right w:val="single" w:sz="8" w:color="E7E7E2"/>
            </w:tcBorders>
          </w:tcPr>
          <w:p>
            <w:pPr>
              <w:spacing w:after="0"/>
              <w:rPr>
                <w:sz w:val="15"/>
                <w:szCs w:val="15"/>
                <w:color w:val="auto"/>
              </w:rPr>
            </w:pPr>
          </w:p>
        </w:tc>
        <w:tc>
          <w:tcPr>
            <w:tcW w:w="9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4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56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3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2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40" w:type="dxa"/>
            <w:vAlign w:val="bottom"/>
            <w:shd w:val="clear" w:color="auto" w:fill="E7E7E2"/>
          </w:tcPr>
          <w:p>
            <w:pPr>
              <w:spacing w:after="0"/>
              <w:rPr>
                <w:sz w:val="15"/>
                <w:szCs w:val="15"/>
                <w:color w:val="auto"/>
              </w:rPr>
            </w:pPr>
          </w:p>
        </w:tc>
        <w:tc>
          <w:tcPr>
            <w:tcW w:w="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40" w:type="dxa"/>
            <w:vAlign w:val="bottom"/>
            <w:tcBorders>
              <w:left w:val="single" w:sz="8" w:color="auto"/>
            </w:tcBorders>
          </w:tcPr>
          <w:p>
            <w:pPr>
              <w:spacing w:after="0"/>
              <w:rPr>
                <w:sz w:val="19"/>
                <w:szCs w:val="19"/>
                <w:color w:val="auto"/>
              </w:rPr>
            </w:pPr>
          </w:p>
        </w:tc>
        <w:tc>
          <w:tcPr>
            <w:tcW w:w="980" w:type="dxa"/>
            <w:vAlign w:val="bottom"/>
            <w:gridSpan w:val="3"/>
            <w:shd w:val="clear" w:color="auto" w:fill="E7E7E2"/>
          </w:tcPr>
          <w:p>
            <w:pPr>
              <w:spacing w:after="0"/>
              <w:rPr>
                <w:sz w:val="20"/>
                <w:szCs w:val="20"/>
                <w:color w:val="auto"/>
              </w:rPr>
            </w:pPr>
            <w:r>
              <w:rPr>
                <w:rFonts w:ascii="Arial" w:cs="Arial" w:eastAsia="Arial" w:hAnsi="Arial"/>
                <w:sz w:val="17"/>
                <w:szCs w:val="17"/>
                <w:color w:val="auto"/>
              </w:rPr>
              <w:t>Sources</w:t>
            </w:r>
          </w:p>
        </w:tc>
        <w:tc>
          <w:tcPr>
            <w:tcW w:w="20" w:type="dxa"/>
            <w:vAlign w:val="bottom"/>
          </w:tcPr>
          <w:p>
            <w:pPr>
              <w:spacing w:after="0"/>
              <w:rPr>
                <w:sz w:val="19"/>
                <w:szCs w:val="19"/>
                <w:color w:val="auto"/>
              </w:rPr>
            </w:pPr>
          </w:p>
        </w:tc>
        <w:tc>
          <w:tcPr>
            <w:tcW w:w="6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12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380" w:type="dxa"/>
            <w:vAlign w:val="bottom"/>
            <w:shd w:val="clear" w:color="auto" w:fill="E7E7E2"/>
          </w:tcPr>
          <w:p>
            <w:pPr>
              <w:spacing w:after="0"/>
              <w:rPr>
                <w:sz w:val="19"/>
                <w:szCs w:val="19"/>
                <w:color w:val="auto"/>
              </w:rPr>
            </w:pPr>
          </w:p>
        </w:tc>
        <w:tc>
          <w:tcPr>
            <w:tcW w:w="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120" w:type="dxa"/>
            <w:vAlign w:val="bottom"/>
            <w:shd w:val="clear" w:color="auto" w:fill="E7E7E2"/>
          </w:tcPr>
          <w:p>
            <w:pPr>
              <w:spacing w:after="0"/>
              <w:rPr>
                <w:sz w:val="19"/>
                <w:szCs w:val="19"/>
                <w:color w:val="auto"/>
              </w:rPr>
            </w:pPr>
          </w:p>
        </w:tc>
        <w:tc>
          <w:tcPr>
            <w:tcW w:w="80" w:type="dxa"/>
            <w:vAlign w:val="bottom"/>
            <w:shd w:val="clear" w:color="auto" w:fill="E7E7E2"/>
          </w:tcPr>
          <w:p>
            <w:pPr>
              <w:spacing w:after="0"/>
              <w:rPr>
                <w:sz w:val="19"/>
                <w:szCs w:val="19"/>
                <w:color w:val="auto"/>
              </w:rPr>
            </w:pPr>
          </w:p>
        </w:tc>
        <w:tc>
          <w:tcPr>
            <w:tcW w:w="40" w:type="dxa"/>
            <w:vAlign w:val="bottom"/>
            <w:tcBorders>
              <w:right w:val="single" w:sz="8" w:color="E7E7E2"/>
            </w:tcBorders>
          </w:tcPr>
          <w:p>
            <w:pPr>
              <w:spacing w:after="0"/>
              <w:rPr>
                <w:sz w:val="19"/>
                <w:szCs w:val="19"/>
                <w:color w:val="auto"/>
              </w:rPr>
            </w:pPr>
          </w:p>
        </w:tc>
        <w:tc>
          <w:tcPr>
            <w:tcW w:w="9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4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56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3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2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40" w:type="dxa"/>
            <w:vAlign w:val="bottom"/>
            <w:shd w:val="clear" w:color="auto" w:fill="E7E7E2"/>
          </w:tcPr>
          <w:p>
            <w:pPr>
              <w:spacing w:after="0"/>
              <w:rPr>
                <w:sz w:val="19"/>
                <w:szCs w:val="19"/>
                <w:color w:val="auto"/>
              </w:rPr>
            </w:pPr>
          </w:p>
        </w:tc>
        <w:tc>
          <w:tcPr>
            <w:tcW w:w="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40" w:type="dxa"/>
            <w:vAlign w:val="bottom"/>
            <w:tcBorders>
              <w:left w:val="single" w:sz="8" w:color="auto"/>
            </w:tcBorders>
          </w:tcPr>
          <w:p>
            <w:pPr>
              <w:spacing w:after="0"/>
              <w:rPr>
                <w:sz w:val="21"/>
                <w:szCs w:val="21"/>
                <w:color w:val="auto"/>
              </w:rPr>
            </w:pPr>
          </w:p>
        </w:tc>
        <w:tc>
          <w:tcPr>
            <w:tcW w:w="4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720" w:type="dxa"/>
            <w:vAlign w:val="bottom"/>
            <w:gridSpan w:val="8"/>
          </w:tcPr>
          <w:p>
            <w:pPr>
              <w:jc w:val="center"/>
              <w:ind w:right="200"/>
              <w:spacing w:after="0"/>
              <w:rPr>
                <w:sz w:val="20"/>
                <w:szCs w:val="20"/>
                <w:color w:val="auto"/>
              </w:rPr>
            </w:pPr>
            <w:r>
              <w:rPr>
                <w:rFonts w:ascii="Arial" w:cs="Arial" w:eastAsia="Arial" w:hAnsi="Arial"/>
                <w:sz w:val="17"/>
                <w:szCs w:val="17"/>
                <w:b w:val="1"/>
                <w:bCs w:val="1"/>
                <w:color w:val="auto"/>
              </w:rPr>
              <w:t>Rule 457(p)</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94"/>
        </w:trPr>
        <w:tc>
          <w:tcPr>
            <w:tcW w:w="40" w:type="dxa"/>
            <w:vAlign w:val="bottom"/>
            <w:tcBorders>
              <w:left w:val="single" w:sz="8" w:color="auto"/>
            </w:tcBorders>
          </w:tcPr>
          <w:p>
            <w:pPr>
              <w:spacing w:after="0"/>
              <w:rPr>
                <w:sz w:val="16"/>
                <w:szCs w:val="16"/>
                <w:color w:val="auto"/>
              </w:rPr>
            </w:pPr>
          </w:p>
        </w:tc>
        <w:tc>
          <w:tcPr>
            <w:tcW w:w="980" w:type="dxa"/>
            <w:vAlign w:val="bottom"/>
            <w:gridSpan w:val="3"/>
            <w:shd w:val="clear" w:color="auto" w:fill="E7E7E2"/>
          </w:tcPr>
          <w:p>
            <w:pPr>
              <w:spacing w:after="0" w:line="194" w:lineRule="exact"/>
              <w:rPr>
                <w:sz w:val="20"/>
                <w:szCs w:val="20"/>
                <w:color w:val="auto"/>
              </w:rPr>
            </w:pPr>
            <w:r>
              <w:rPr>
                <w:rFonts w:ascii="Arial" w:cs="Arial" w:eastAsia="Arial" w:hAnsi="Arial"/>
                <w:sz w:val="17"/>
                <w:szCs w:val="17"/>
                <w:color w:val="auto"/>
              </w:rPr>
              <w:t>Fee Offset</w:t>
            </w: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12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380" w:type="dxa"/>
            <w:vAlign w:val="bottom"/>
            <w:shd w:val="clear" w:color="auto" w:fill="E7E7E2"/>
          </w:tcPr>
          <w:p>
            <w:pPr>
              <w:spacing w:after="0"/>
              <w:rPr>
                <w:sz w:val="16"/>
                <w:szCs w:val="16"/>
                <w:color w:val="auto"/>
              </w:rPr>
            </w:pPr>
          </w:p>
        </w:tc>
        <w:tc>
          <w:tcPr>
            <w:tcW w:w="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46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80" w:type="dxa"/>
            <w:vAlign w:val="bottom"/>
            <w:shd w:val="clear" w:color="auto" w:fill="E7E7E2"/>
          </w:tcPr>
          <w:p>
            <w:pPr>
              <w:spacing w:after="0"/>
              <w:rPr>
                <w:sz w:val="16"/>
                <w:szCs w:val="16"/>
                <w:color w:val="auto"/>
              </w:rPr>
            </w:pPr>
          </w:p>
        </w:tc>
        <w:tc>
          <w:tcPr>
            <w:tcW w:w="40" w:type="dxa"/>
            <w:vAlign w:val="bottom"/>
            <w:tcBorders>
              <w:right w:val="single" w:sz="8" w:color="E7E7E2"/>
            </w:tcBorders>
          </w:tcPr>
          <w:p>
            <w:pPr>
              <w:spacing w:after="0"/>
              <w:rPr>
                <w:sz w:val="16"/>
                <w:szCs w:val="16"/>
                <w:color w:val="auto"/>
              </w:rPr>
            </w:pPr>
          </w:p>
        </w:tc>
        <w:tc>
          <w:tcPr>
            <w:tcW w:w="9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4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56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3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2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40" w:type="dxa"/>
            <w:vAlign w:val="bottom"/>
            <w:shd w:val="clear" w:color="auto" w:fill="E7E7E2"/>
          </w:tcPr>
          <w:p>
            <w:pPr>
              <w:spacing w:after="0"/>
              <w:rPr>
                <w:sz w:val="16"/>
                <w:szCs w:val="16"/>
                <w:color w:val="auto"/>
              </w:rPr>
            </w:pPr>
          </w:p>
        </w:tc>
        <w:tc>
          <w:tcPr>
            <w:tcW w:w="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40" w:type="dxa"/>
            <w:vAlign w:val="bottom"/>
            <w:tcBorders>
              <w:left w:val="single" w:sz="8" w:color="auto"/>
            </w:tcBorders>
          </w:tcPr>
          <w:p>
            <w:pPr>
              <w:spacing w:after="0"/>
              <w:rPr>
                <w:sz w:val="19"/>
                <w:szCs w:val="19"/>
                <w:color w:val="auto"/>
              </w:rPr>
            </w:pPr>
          </w:p>
        </w:tc>
        <w:tc>
          <w:tcPr>
            <w:tcW w:w="980" w:type="dxa"/>
            <w:vAlign w:val="bottom"/>
            <w:gridSpan w:val="3"/>
            <w:shd w:val="clear" w:color="auto" w:fill="E7E7E2"/>
          </w:tcPr>
          <w:p>
            <w:pPr>
              <w:spacing w:after="0"/>
              <w:rPr>
                <w:sz w:val="20"/>
                <w:szCs w:val="20"/>
                <w:color w:val="auto"/>
              </w:rPr>
            </w:pPr>
            <w:r>
              <w:rPr>
                <w:rFonts w:ascii="Arial" w:cs="Arial" w:eastAsia="Arial" w:hAnsi="Arial"/>
                <w:sz w:val="17"/>
                <w:szCs w:val="17"/>
                <w:color w:val="auto"/>
              </w:rPr>
              <w:t>Claims</w:t>
            </w:r>
          </w:p>
        </w:tc>
        <w:tc>
          <w:tcPr>
            <w:tcW w:w="20" w:type="dxa"/>
            <w:vAlign w:val="bottom"/>
          </w:tcPr>
          <w:p>
            <w:pPr>
              <w:spacing w:after="0"/>
              <w:rPr>
                <w:sz w:val="19"/>
                <w:szCs w:val="19"/>
                <w:color w:val="auto"/>
              </w:rPr>
            </w:pPr>
          </w:p>
        </w:tc>
        <w:tc>
          <w:tcPr>
            <w:tcW w:w="6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12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380" w:type="dxa"/>
            <w:vAlign w:val="bottom"/>
            <w:shd w:val="clear" w:color="auto" w:fill="E7E7E2"/>
          </w:tcPr>
          <w:p>
            <w:pPr>
              <w:spacing w:after="0"/>
              <w:rPr>
                <w:sz w:val="19"/>
                <w:szCs w:val="19"/>
                <w:color w:val="auto"/>
              </w:rPr>
            </w:pPr>
          </w:p>
        </w:tc>
        <w:tc>
          <w:tcPr>
            <w:tcW w:w="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120" w:type="dxa"/>
            <w:vAlign w:val="bottom"/>
            <w:shd w:val="clear" w:color="auto" w:fill="E7E7E2"/>
          </w:tcPr>
          <w:p>
            <w:pPr>
              <w:spacing w:after="0"/>
              <w:rPr>
                <w:sz w:val="19"/>
                <w:szCs w:val="19"/>
                <w:color w:val="auto"/>
              </w:rPr>
            </w:pPr>
          </w:p>
        </w:tc>
        <w:tc>
          <w:tcPr>
            <w:tcW w:w="80" w:type="dxa"/>
            <w:vAlign w:val="bottom"/>
            <w:shd w:val="clear" w:color="auto" w:fill="E7E7E2"/>
          </w:tcPr>
          <w:p>
            <w:pPr>
              <w:spacing w:after="0"/>
              <w:rPr>
                <w:sz w:val="19"/>
                <w:szCs w:val="19"/>
                <w:color w:val="auto"/>
              </w:rPr>
            </w:pPr>
          </w:p>
        </w:tc>
        <w:tc>
          <w:tcPr>
            <w:tcW w:w="40" w:type="dxa"/>
            <w:vAlign w:val="bottom"/>
            <w:tcBorders>
              <w:right w:val="single" w:sz="8" w:color="E7E7E2"/>
            </w:tcBorders>
          </w:tcPr>
          <w:p>
            <w:pPr>
              <w:spacing w:after="0"/>
              <w:rPr>
                <w:sz w:val="19"/>
                <w:szCs w:val="19"/>
                <w:color w:val="auto"/>
              </w:rPr>
            </w:pPr>
          </w:p>
        </w:tc>
        <w:tc>
          <w:tcPr>
            <w:tcW w:w="9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4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56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3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2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40" w:type="dxa"/>
            <w:vAlign w:val="bottom"/>
            <w:shd w:val="clear" w:color="auto" w:fill="E7E7E2"/>
          </w:tcPr>
          <w:p>
            <w:pPr>
              <w:spacing w:after="0"/>
              <w:rPr>
                <w:sz w:val="19"/>
                <w:szCs w:val="19"/>
                <w:color w:val="auto"/>
              </w:rPr>
            </w:pPr>
          </w:p>
        </w:tc>
        <w:tc>
          <w:tcPr>
            <w:tcW w:w="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 w:type="dxa"/>
            <w:vAlign w:val="bottom"/>
            <w:tcBorders>
              <w:left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40" w:type="dxa"/>
            <w:vAlign w:val="bottom"/>
            <w:tcBorders>
              <w:left w:val="single" w:sz="8" w:color="auto"/>
            </w:tcBorders>
          </w:tcPr>
          <w:p>
            <w:pPr>
              <w:spacing w:after="0"/>
              <w:rPr>
                <w:sz w:val="15"/>
                <w:szCs w:val="15"/>
                <w:color w:val="auto"/>
              </w:rPr>
            </w:pPr>
          </w:p>
        </w:tc>
        <w:tc>
          <w:tcPr>
            <w:tcW w:w="980" w:type="dxa"/>
            <w:vAlign w:val="bottom"/>
            <w:gridSpan w:val="3"/>
            <w:shd w:val="clear" w:color="auto" w:fill="E7E7E2"/>
          </w:tcPr>
          <w:p>
            <w:pPr>
              <w:spacing w:after="0" w:line="181" w:lineRule="exact"/>
              <w:rPr>
                <w:sz w:val="20"/>
                <w:szCs w:val="20"/>
                <w:color w:val="auto"/>
              </w:rPr>
            </w:pPr>
            <w:r>
              <w:rPr>
                <w:rFonts w:ascii="Arial" w:cs="Arial" w:eastAsia="Arial" w:hAnsi="Arial"/>
                <w:sz w:val="17"/>
                <w:szCs w:val="17"/>
                <w:color w:val="auto"/>
              </w:rPr>
              <w:t>Fee Offset</w:t>
            </w:r>
          </w:p>
        </w:tc>
        <w:tc>
          <w:tcPr>
            <w:tcW w:w="20" w:type="dxa"/>
            <w:vAlign w:val="bottom"/>
            <w:vMerge w:val="continue"/>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vMerge w:val="continue"/>
          </w:tcPr>
          <w:p>
            <w:pPr>
              <w:spacing w:after="0"/>
              <w:rPr>
                <w:sz w:val="15"/>
                <w:szCs w:val="15"/>
                <w:color w:val="auto"/>
              </w:rPr>
            </w:pPr>
          </w:p>
        </w:tc>
        <w:tc>
          <w:tcPr>
            <w:tcW w:w="30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12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380" w:type="dxa"/>
            <w:vAlign w:val="bottom"/>
            <w:shd w:val="clear" w:color="auto" w:fill="E7E7E2"/>
          </w:tcPr>
          <w:p>
            <w:pPr>
              <w:spacing w:after="0"/>
              <w:rPr>
                <w:sz w:val="15"/>
                <w:szCs w:val="15"/>
                <w:color w:val="auto"/>
              </w:rPr>
            </w:pPr>
          </w:p>
        </w:tc>
        <w:tc>
          <w:tcPr>
            <w:tcW w:w="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120" w:type="dxa"/>
            <w:vAlign w:val="bottom"/>
            <w:shd w:val="clear" w:color="auto" w:fill="E7E7E2"/>
          </w:tcPr>
          <w:p>
            <w:pPr>
              <w:spacing w:after="0"/>
              <w:rPr>
                <w:sz w:val="15"/>
                <w:szCs w:val="15"/>
                <w:color w:val="auto"/>
              </w:rPr>
            </w:pPr>
          </w:p>
        </w:tc>
        <w:tc>
          <w:tcPr>
            <w:tcW w:w="80" w:type="dxa"/>
            <w:vAlign w:val="bottom"/>
            <w:shd w:val="clear" w:color="auto" w:fill="E7E7E2"/>
          </w:tcPr>
          <w:p>
            <w:pPr>
              <w:spacing w:after="0"/>
              <w:rPr>
                <w:sz w:val="15"/>
                <w:szCs w:val="15"/>
                <w:color w:val="auto"/>
              </w:rPr>
            </w:pPr>
          </w:p>
        </w:tc>
        <w:tc>
          <w:tcPr>
            <w:tcW w:w="40" w:type="dxa"/>
            <w:vAlign w:val="bottom"/>
            <w:tcBorders>
              <w:right w:val="single" w:sz="8" w:color="E7E7E2"/>
            </w:tcBorders>
          </w:tcPr>
          <w:p>
            <w:pPr>
              <w:spacing w:after="0"/>
              <w:rPr>
                <w:sz w:val="15"/>
                <w:szCs w:val="15"/>
                <w:color w:val="auto"/>
              </w:rPr>
            </w:pPr>
          </w:p>
        </w:tc>
        <w:tc>
          <w:tcPr>
            <w:tcW w:w="9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4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56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3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2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40" w:type="dxa"/>
            <w:vAlign w:val="bottom"/>
            <w:shd w:val="clear" w:color="auto" w:fill="E7E7E2"/>
          </w:tcPr>
          <w:p>
            <w:pPr>
              <w:spacing w:after="0"/>
              <w:rPr>
                <w:sz w:val="15"/>
                <w:szCs w:val="15"/>
                <w:color w:val="auto"/>
              </w:rPr>
            </w:pPr>
          </w:p>
        </w:tc>
        <w:tc>
          <w:tcPr>
            <w:tcW w:w="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40" w:type="dxa"/>
            <w:vAlign w:val="bottom"/>
            <w:tcBorders>
              <w:left w:val="single" w:sz="8" w:color="auto"/>
            </w:tcBorders>
          </w:tcPr>
          <w:p>
            <w:pPr>
              <w:spacing w:after="0"/>
              <w:rPr>
                <w:sz w:val="19"/>
                <w:szCs w:val="19"/>
                <w:color w:val="auto"/>
              </w:rPr>
            </w:pPr>
          </w:p>
        </w:tc>
        <w:tc>
          <w:tcPr>
            <w:tcW w:w="980" w:type="dxa"/>
            <w:vAlign w:val="bottom"/>
            <w:gridSpan w:val="3"/>
            <w:shd w:val="clear" w:color="auto" w:fill="E7E7E2"/>
          </w:tcPr>
          <w:p>
            <w:pPr>
              <w:spacing w:after="0"/>
              <w:rPr>
                <w:sz w:val="20"/>
                <w:szCs w:val="20"/>
                <w:color w:val="auto"/>
              </w:rPr>
            </w:pPr>
            <w:r>
              <w:rPr>
                <w:rFonts w:ascii="Arial" w:cs="Arial" w:eastAsia="Arial" w:hAnsi="Arial"/>
                <w:sz w:val="17"/>
                <w:szCs w:val="17"/>
                <w:color w:val="auto"/>
              </w:rPr>
              <w:t>Sources</w:t>
            </w:r>
          </w:p>
        </w:tc>
        <w:tc>
          <w:tcPr>
            <w:tcW w:w="20" w:type="dxa"/>
            <w:vAlign w:val="bottom"/>
          </w:tcPr>
          <w:p>
            <w:pPr>
              <w:spacing w:after="0"/>
              <w:rPr>
                <w:sz w:val="19"/>
                <w:szCs w:val="19"/>
                <w:color w:val="auto"/>
              </w:rPr>
            </w:pPr>
          </w:p>
        </w:tc>
        <w:tc>
          <w:tcPr>
            <w:tcW w:w="6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12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380" w:type="dxa"/>
            <w:vAlign w:val="bottom"/>
            <w:shd w:val="clear" w:color="auto" w:fill="E7E7E2"/>
          </w:tcPr>
          <w:p>
            <w:pPr>
              <w:spacing w:after="0"/>
              <w:rPr>
                <w:sz w:val="19"/>
                <w:szCs w:val="19"/>
                <w:color w:val="auto"/>
              </w:rPr>
            </w:pPr>
          </w:p>
        </w:tc>
        <w:tc>
          <w:tcPr>
            <w:tcW w:w="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120" w:type="dxa"/>
            <w:vAlign w:val="bottom"/>
            <w:shd w:val="clear" w:color="auto" w:fill="E7E7E2"/>
          </w:tcPr>
          <w:p>
            <w:pPr>
              <w:spacing w:after="0"/>
              <w:rPr>
                <w:sz w:val="19"/>
                <w:szCs w:val="19"/>
                <w:color w:val="auto"/>
              </w:rPr>
            </w:pPr>
          </w:p>
        </w:tc>
        <w:tc>
          <w:tcPr>
            <w:tcW w:w="80" w:type="dxa"/>
            <w:vAlign w:val="bottom"/>
            <w:shd w:val="clear" w:color="auto" w:fill="E7E7E2"/>
          </w:tcPr>
          <w:p>
            <w:pPr>
              <w:spacing w:after="0"/>
              <w:rPr>
                <w:sz w:val="19"/>
                <w:szCs w:val="19"/>
                <w:color w:val="auto"/>
              </w:rPr>
            </w:pPr>
          </w:p>
        </w:tc>
        <w:tc>
          <w:tcPr>
            <w:tcW w:w="40" w:type="dxa"/>
            <w:vAlign w:val="bottom"/>
            <w:tcBorders>
              <w:right w:val="single" w:sz="8" w:color="E7E7E2"/>
            </w:tcBorders>
          </w:tcPr>
          <w:p>
            <w:pPr>
              <w:spacing w:after="0"/>
              <w:rPr>
                <w:sz w:val="19"/>
                <w:szCs w:val="19"/>
                <w:color w:val="auto"/>
              </w:rPr>
            </w:pPr>
          </w:p>
        </w:tc>
        <w:tc>
          <w:tcPr>
            <w:tcW w:w="9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4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56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3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2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40" w:type="dxa"/>
            <w:vAlign w:val="bottom"/>
            <w:shd w:val="clear" w:color="auto" w:fill="E7E7E2"/>
          </w:tcPr>
          <w:p>
            <w:pPr>
              <w:spacing w:after="0"/>
              <w:rPr>
                <w:sz w:val="19"/>
                <w:szCs w:val="19"/>
                <w:color w:val="auto"/>
              </w:rPr>
            </w:pPr>
          </w:p>
        </w:tc>
        <w:tc>
          <w:tcPr>
            <w:tcW w:w="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 w:type="dxa"/>
            <w:vAlign w:val="bottom"/>
            <w:tcBorders>
              <w:left w:val="single" w:sz="8" w:color="auto"/>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3300" w:type="dxa"/>
            <w:vAlign w:val="bottom"/>
            <w:tcBorders>
              <w:bottom w:val="single" w:sz="8" w:color="auto"/>
            </w:tcBorders>
            <w:gridSpan w:val="10"/>
          </w:tcPr>
          <w:p>
            <w:pPr>
              <w:ind w:left="40"/>
              <w:spacing w:after="0"/>
              <w:rPr>
                <w:sz w:val="20"/>
                <w:szCs w:val="20"/>
                <w:color w:val="auto"/>
              </w:rPr>
            </w:pPr>
            <w:r>
              <w:rPr>
                <w:rFonts w:ascii="Arial" w:cs="Arial" w:eastAsia="Arial" w:hAnsi="Arial"/>
                <w:sz w:val="17"/>
                <w:szCs w:val="17"/>
                <w:b w:val="1"/>
                <w:bCs w:val="1"/>
                <w:color w:val="auto"/>
              </w:rPr>
              <w:t>Table 3: Combined Prospectuses</w:t>
            </w:r>
          </w:p>
        </w:tc>
        <w:tc>
          <w:tcPr>
            <w:tcW w:w="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gridSpan w:val="6"/>
          </w:tcPr>
          <w:p>
            <w:pPr>
              <w:ind w:left="340"/>
              <w:spacing w:after="0" w:line="196" w:lineRule="exact"/>
              <w:rPr>
                <w:sz w:val="20"/>
                <w:szCs w:val="20"/>
                <w:color w:val="auto"/>
              </w:rPr>
            </w:pPr>
            <w:r>
              <w:rPr>
                <w:rFonts w:ascii="MS PGothic" w:cs="MS PGothic" w:eastAsia="MS PGothic" w:hAnsi="MS PGothic"/>
                <w:sz w:val="17"/>
                <w:szCs w:val="17"/>
                <w:color w:val="auto"/>
                <w:highlight w:val="black"/>
                <w:w w:val="97"/>
              </w:rPr>
              <w:t>☑</w:t>
            </w:r>
            <w:r>
              <w:rPr>
                <w:rFonts w:ascii="Arial" w:cs="Arial" w:eastAsia="Arial" w:hAnsi="Arial"/>
                <w:sz w:val="17"/>
                <w:szCs w:val="17"/>
                <w:b w:val="1"/>
                <w:bCs w:val="1"/>
                <w:color w:val="auto"/>
                <w:w w:val="97"/>
              </w:rPr>
              <w:t>Not Applicable</w:t>
            </w:r>
          </w:p>
        </w:tc>
        <w:tc>
          <w:tcPr>
            <w:tcW w:w="0" w:type="dxa"/>
            <w:vAlign w:val="bottom"/>
          </w:tcPr>
          <w:p>
            <w:pPr>
              <w:spacing w:after="0"/>
              <w:rPr>
                <w:sz w:val="1"/>
                <w:szCs w:val="1"/>
                <w:color w:val="auto"/>
              </w:rPr>
            </w:pPr>
          </w:p>
        </w:tc>
      </w:tr>
      <w:tr>
        <w:trPr>
          <w:trHeight w:val="198"/>
        </w:trPr>
        <w:tc>
          <w:tcPr>
            <w:tcW w:w="40" w:type="dxa"/>
            <w:vAlign w:val="bottom"/>
            <w:tcBorders>
              <w:left w:val="single" w:sz="8" w:color="auto"/>
            </w:tcBorders>
          </w:tcPr>
          <w:p>
            <w:pPr>
              <w:spacing w:after="0"/>
              <w:rPr>
                <w:sz w:val="17"/>
                <w:szCs w:val="17"/>
                <w:color w:val="auto"/>
              </w:rPr>
            </w:pPr>
          </w:p>
        </w:tc>
        <w:tc>
          <w:tcPr>
            <w:tcW w:w="44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520" w:type="dxa"/>
            <w:vAlign w:val="bottom"/>
            <w:shd w:val="clear" w:color="auto" w:fill="9ADAF6"/>
          </w:tcPr>
          <w:p>
            <w:pPr>
              <w:spacing w:after="0"/>
              <w:rPr>
                <w:sz w:val="17"/>
                <w:szCs w:val="17"/>
                <w:color w:val="auto"/>
              </w:rPr>
            </w:pPr>
          </w:p>
        </w:tc>
        <w:tc>
          <w:tcPr>
            <w:tcW w:w="20" w:type="dxa"/>
            <w:vAlign w:val="bottom"/>
            <w:shd w:val="clear" w:color="auto" w:fill="9ADAF6"/>
          </w:tcPr>
          <w:p>
            <w:pPr>
              <w:spacing w:after="0"/>
              <w:rPr>
                <w:sz w:val="17"/>
                <w:szCs w:val="17"/>
                <w:color w:val="auto"/>
              </w:rPr>
            </w:pPr>
          </w:p>
        </w:tc>
        <w:tc>
          <w:tcPr>
            <w:tcW w:w="680" w:type="dxa"/>
            <w:vAlign w:val="bottom"/>
            <w:shd w:val="clear" w:color="auto" w:fill="9ADAF6"/>
          </w:tcPr>
          <w:p>
            <w:pPr>
              <w:spacing w:after="0"/>
              <w:rPr>
                <w:sz w:val="17"/>
                <w:szCs w:val="17"/>
                <w:color w:val="auto"/>
              </w:rPr>
            </w:pPr>
          </w:p>
        </w:tc>
        <w:tc>
          <w:tcPr>
            <w:tcW w:w="20" w:type="dxa"/>
            <w:vAlign w:val="bottom"/>
            <w:shd w:val="clear" w:color="auto" w:fill="9ADAF6"/>
          </w:tcPr>
          <w:p>
            <w:pPr>
              <w:spacing w:after="0"/>
              <w:rPr>
                <w:sz w:val="17"/>
                <w:szCs w:val="17"/>
                <w:color w:val="auto"/>
              </w:rPr>
            </w:pPr>
          </w:p>
        </w:tc>
        <w:tc>
          <w:tcPr>
            <w:tcW w:w="30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1240" w:type="dxa"/>
            <w:vAlign w:val="bottom"/>
            <w:shd w:val="clear" w:color="auto" w:fill="9ADAF6"/>
          </w:tcPr>
          <w:p>
            <w:pPr>
              <w:spacing w:after="0"/>
              <w:rPr>
                <w:sz w:val="17"/>
                <w:szCs w:val="17"/>
                <w:color w:val="auto"/>
              </w:rPr>
            </w:pPr>
          </w:p>
        </w:tc>
        <w:tc>
          <w:tcPr>
            <w:tcW w:w="20" w:type="dxa"/>
            <w:vAlign w:val="bottom"/>
            <w:shd w:val="clear" w:color="auto" w:fill="9ADAF6"/>
          </w:tcPr>
          <w:p>
            <w:pPr>
              <w:spacing w:after="0"/>
              <w:rPr>
                <w:sz w:val="17"/>
                <w:szCs w:val="17"/>
                <w:color w:val="auto"/>
              </w:rPr>
            </w:pPr>
          </w:p>
        </w:tc>
        <w:tc>
          <w:tcPr>
            <w:tcW w:w="620" w:type="dxa"/>
            <w:vAlign w:val="bottom"/>
            <w:shd w:val="clear" w:color="auto" w:fill="9ADAF6"/>
          </w:tcPr>
          <w:p>
            <w:pPr>
              <w:spacing w:after="0"/>
              <w:rPr>
                <w:sz w:val="17"/>
                <w:szCs w:val="17"/>
                <w:color w:val="auto"/>
              </w:rPr>
            </w:pPr>
          </w:p>
        </w:tc>
        <w:tc>
          <w:tcPr>
            <w:tcW w:w="20" w:type="dxa"/>
            <w:vAlign w:val="bottom"/>
            <w:shd w:val="clear" w:color="auto" w:fill="9ADAF6"/>
          </w:tcPr>
          <w:p>
            <w:pPr>
              <w:spacing w:after="0"/>
              <w:rPr>
                <w:sz w:val="17"/>
                <w:szCs w:val="17"/>
                <w:color w:val="auto"/>
              </w:rPr>
            </w:pPr>
          </w:p>
        </w:tc>
        <w:tc>
          <w:tcPr>
            <w:tcW w:w="740" w:type="dxa"/>
            <w:vAlign w:val="bottom"/>
            <w:shd w:val="clear" w:color="auto" w:fill="9ADAF6"/>
          </w:tcPr>
          <w:p>
            <w:pPr>
              <w:spacing w:after="0"/>
              <w:rPr>
                <w:sz w:val="17"/>
                <w:szCs w:val="17"/>
                <w:color w:val="auto"/>
              </w:rPr>
            </w:pPr>
          </w:p>
        </w:tc>
        <w:tc>
          <w:tcPr>
            <w:tcW w:w="20" w:type="dxa"/>
            <w:vAlign w:val="bottom"/>
            <w:shd w:val="clear" w:color="auto" w:fill="9ADAF6"/>
          </w:tcPr>
          <w:p>
            <w:pPr>
              <w:spacing w:after="0"/>
              <w:rPr>
                <w:sz w:val="17"/>
                <w:szCs w:val="17"/>
                <w:color w:val="auto"/>
              </w:rPr>
            </w:pPr>
          </w:p>
        </w:tc>
        <w:tc>
          <w:tcPr>
            <w:tcW w:w="14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1580" w:type="dxa"/>
            <w:vAlign w:val="bottom"/>
            <w:gridSpan w:val="6"/>
            <w:shd w:val="clear" w:color="auto" w:fill="9ADAF6"/>
          </w:tcPr>
          <w:p>
            <w:pPr>
              <w:jc w:val="center"/>
              <w:spacing w:after="0"/>
              <w:rPr>
                <w:sz w:val="20"/>
                <w:szCs w:val="20"/>
                <w:color w:val="auto"/>
              </w:rPr>
            </w:pPr>
            <w:r>
              <w:rPr>
                <w:rFonts w:ascii="Arial" w:cs="Arial" w:eastAsia="Arial" w:hAnsi="Arial"/>
                <w:sz w:val="17"/>
                <w:szCs w:val="17"/>
                <w:b w:val="1"/>
                <w:bCs w:val="1"/>
                <w:color w:val="auto"/>
              </w:rPr>
              <w:t>Amount of</w:t>
            </w:r>
          </w:p>
        </w:tc>
        <w:tc>
          <w:tcPr>
            <w:tcW w:w="20" w:type="dxa"/>
            <w:vAlign w:val="bottom"/>
          </w:tcPr>
          <w:p>
            <w:pPr>
              <w:spacing w:after="0"/>
              <w:rPr>
                <w:sz w:val="17"/>
                <w:szCs w:val="17"/>
                <w:color w:val="auto"/>
              </w:rPr>
            </w:pPr>
          </w:p>
        </w:tc>
        <w:tc>
          <w:tcPr>
            <w:tcW w:w="120" w:type="dxa"/>
            <w:vAlign w:val="bottom"/>
            <w:shd w:val="clear" w:color="auto" w:fill="9ADAF6"/>
          </w:tcPr>
          <w:p>
            <w:pPr>
              <w:spacing w:after="0"/>
              <w:rPr>
                <w:sz w:val="17"/>
                <w:szCs w:val="17"/>
                <w:color w:val="auto"/>
              </w:rPr>
            </w:pPr>
          </w:p>
        </w:tc>
        <w:tc>
          <w:tcPr>
            <w:tcW w:w="1900" w:type="dxa"/>
            <w:vAlign w:val="bottom"/>
            <w:gridSpan w:val="5"/>
            <w:shd w:val="clear" w:color="auto" w:fill="9ADAF6"/>
          </w:tcPr>
          <w:p>
            <w:pPr>
              <w:jc w:val="center"/>
              <w:ind w:right="58"/>
              <w:spacing w:after="0"/>
              <w:rPr>
                <w:sz w:val="20"/>
                <w:szCs w:val="20"/>
                <w:color w:val="auto"/>
              </w:rPr>
            </w:pPr>
            <w:r>
              <w:rPr>
                <w:rFonts w:ascii="Arial" w:cs="Arial" w:eastAsia="Arial" w:hAnsi="Arial"/>
                <w:sz w:val="17"/>
                <w:szCs w:val="17"/>
                <w:b w:val="1"/>
                <w:bCs w:val="1"/>
                <w:color w:val="auto"/>
              </w:rPr>
              <w:t>Maximum Aggregate</w:t>
            </w:r>
          </w:p>
        </w:tc>
        <w:tc>
          <w:tcPr>
            <w:tcW w:w="20" w:type="dxa"/>
            <w:vAlign w:val="bottom"/>
          </w:tcPr>
          <w:p>
            <w:pPr>
              <w:spacing w:after="0"/>
              <w:rPr>
                <w:sz w:val="17"/>
                <w:szCs w:val="17"/>
                <w:color w:val="auto"/>
              </w:rPr>
            </w:pPr>
          </w:p>
        </w:tc>
        <w:tc>
          <w:tcPr>
            <w:tcW w:w="80" w:type="dxa"/>
            <w:vAlign w:val="bottom"/>
            <w:shd w:val="clear" w:color="auto" w:fill="9ADAF6"/>
          </w:tcPr>
          <w:p>
            <w:pPr>
              <w:spacing w:after="0"/>
              <w:rPr>
                <w:sz w:val="17"/>
                <w:szCs w:val="17"/>
                <w:color w:val="auto"/>
              </w:rPr>
            </w:pPr>
          </w:p>
        </w:tc>
        <w:tc>
          <w:tcPr>
            <w:tcW w:w="20" w:type="dxa"/>
            <w:vAlign w:val="bottom"/>
            <w:shd w:val="clear" w:color="auto" w:fill="9ADAF6"/>
          </w:tcPr>
          <w:p>
            <w:pPr>
              <w:spacing w:after="0"/>
              <w:rPr>
                <w:sz w:val="17"/>
                <w:szCs w:val="17"/>
                <w:color w:val="auto"/>
              </w:rPr>
            </w:pPr>
          </w:p>
        </w:tc>
        <w:tc>
          <w:tcPr>
            <w:tcW w:w="56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shd w:val="clear" w:color="auto" w:fill="9ADAF6"/>
          </w:tcPr>
          <w:p>
            <w:pPr>
              <w:spacing w:after="0"/>
              <w:rPr>
                <w:sz w:val="17"/>
                <w:szCs w:val="17"/>
                <w:color w:val="auto"/>
              </w:rPr>
            </w:pPr>
          </w:p>
        </w:tc>
        <w:tc>
          <w:tcPr>
            <w:tcW w:w="20" w:type="dxa"/>
            <w:vAlign w:val="bottom"/>
            <w:shd w:val="clear" w:color="auto" w:fill="9ADAF6"/>
          </w:tcPr>
          <w:p>
            <w:pPr>
              <w:spacing w:after="0"/>
              <w:rPr>
                <w:sz w:val="17"/>
                <w:szCs w:val="17"/>
                <w:color w:val="auto"/>
              </w:rPr>
            </w:pPr>
          </w:p>
        </w:tc>
        <w:tc>
          <w:tcPr>
            <w:tcW w:w="74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shd w:val="clear" w:color="auto" w:fill="9ADAF6"/>
          </w:tcPr>
          <w:p>
            <w:pPr>
              <w:spacing w:after="0"/>
              <w:rPr>
                <w:sz w:val="17"/>
                <w:szCs w:val="17"/>
                <w:color w:val="auto"/>
              </w:rPr>
            </w:pPr>
          </w:p>
        </w:tc>
        <w:tc>
          <w:tcPr>
            <w:tcW w:w="720" w:type="dxa"/>
            <w:vAlign w:val="bottom"/>
            <w:tcBorders>
              <w:right w:val="single" w:sz="8" w:color="auto"/>
            </w:tcBorders>
            <w:gridSpan w:val="3"/>
            <w:vMerge w:val="restart"/>
            <w:shd w:val="clear" w:color="auto" w:fill="9ADAF6"/>
          </w:tcPr>
          <w:p>
            <w:pPr>
              <w:jc w:val="center"/>
              <w:ind w:right="240"/>
              <w:spacing w:after="0"/>
              <w:rPr>
                <w:sz w:val="20"/>
                <w:szCs w:val="20"/>
                <w:color w:val="auto"/>
              </w:rPr>
            </w:pPr>
            <w:r>
              <w:rPr>
                <w:rFonts w:ascii="Arial" w:cs="Arial" w:eastAsia="Arial" w:hAnsi="Arial"/>
                <w:sz w:val="17"/>
                <w:szCs w:val="17"/>
                <w:b w:val="1"/>
                <w:bCs w:val="1"/>
                <w:color w:val="auto"/>
                <w:w w:val="98"/>
              </w:rPr>
              <w:t>Initial</w:t>
            </w:r>
          </w:p>
        </w:tc>
        <w:tc>
          <w:tcPr>
            <w:tcW w:w="0" w:type="dxa"/>
            <w:vAlign w:val="bottom"/>
          </w:tcPr>
          <w:p>
            <w:pPr>
              <w:spacing w:after="0"/>
              <w:rPr>
                <w:sz w:val="1"/>
                <w:szCs w:val="1"/>
                <w:color w:val="auto"/>
              </w:rPr>
            </w:pPr>
          </w:p>
        </w:tc>
      </w:tr>
      <w:tr>
        <w:trPr>
          <w:trHeight w:val="96"/>
        </w:trPr>
        <w:tc>
          <w:tcPr>
            <w:tcW w:w="40" w:type="dxa"/>
            <w:vAlign w:val="bottom"/>
            <w:tcBorders>
              <w:left w:val="single" w:sz="8" w:color="auto"/>
            </w:tcBorders>
          </w:tcPr>
          <w:p>
            <w:pPr>
              <w:spacing w:after="0"/>
              <w:rPr>
                <w:sz w:val="8"/>
                <w:szCs w:val="8"/>
                <w:color w:val="auto"/>
              </w:rPr>
            </w:pPr>
          </w:p>
        </w:tc>
        <w:tc>
          <w:tcPr>
            <w:tcW w:w="4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68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30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24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62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74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1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shd w:val="clear" w:color="auto" w:fill="9ADAF6"/>
          </w:tcPr>
          <w:p>
            <w:pPr>
              <w:spacing w:after="0"/>
              <w:rPr>
                <w:sz w:val="8"/>
                <w:szCs w:val="8"/>
                <w:color w:val="auto"/>
              </w:rPr>
            </w:pPr>
          </w:p>
        </w:tc>
        <w:tc>
          <w:tcPr>
            <w:tcW w:w="1200" w:type="dxa"/>
            <w:vAlign w:val="bottom"/>
            <w:gridSpan w:val="5"/>
            <w:vMerge w:val="restart"/>
            <w:shd w:val="clear" w:color="auto" w:fill="9ADAF6"/>
          </w:tcPr>
          <w:p>
            <w:pPr>
              <w:jc w:val="center"/>
              <w:ind w:right="295"/>
              <w:spacing w:after="0" w:line="192" w:lineRule="exact"/>
              <w:rPr>
                <w:sz w:val="20"/>
                <w:szCs w:val="20"/>
                <w:color w:val="auto"/>
              </w:rPr>
            </w:pPr>
            <w:r>
              <w:rPr>
                <w:rFonts w:ascii="Arial" w:cs="Arial" w:eastAsia="Arial" w:hAnsi="Arial"/>
                <w:sz w:val="17"/>
                <w:szCs w:val="17"/>
                <w:b w:val="1"/>
                <w:bCs w:val="1"/>
                <w:color w:val="auto"/>
              </w:rPr>
              <w:t>Securities</w:t>
            </w:r>
          </w:p>
        </w:tc>
        <w:tc>
          <w:tcPr>
            <w:tcW w:w="20" w:type="dxa"/>
            <w:vAlign w:val="bottom"/>
          </w:tcPr>
          <w:p>
            <w:pPr>
              <w:spacing w:after="0"/>
              <w:rPr>
                <w:sz w:val="8"/>
                <w:szCs w:val="8"/>
                <w:color w:val="auto"/>
              </w:rPr>
            </w:pPr>
          </w:p>
        </w:tc>
        <w:tc>
          <w:tcPr>
            <w:tcW w:w="120" w:type="dxa"/>
            <w:vAlign w:val="bottom"/>
            <w:shd w:val="clear" w:color="auto" w:fill="9ADAF6"/>
          </w:tcPr>
          <w:p>
            <w:pPr>
              <w:spacing w:after="0"/>
              <w:rPr>
                <w:sz w:val="8"/>
                <w:szCs w:val="8"/>
                <w:color w:val="auto"/>
              </w:rPr>
            </w:pPr>
          </w:p>
        </w:tc>
        <w:tc>
          <w:tcPr>
            <w:tcW w:w="80" w:type="dxa"/>
            <w:vAlign w:val="bottom"/>
            <w:shd w:val="clear" w:color="auto" w:fill="9ADAF6"/>
          </w:tcPr>
          <w:p>
            <w:pPr>
              <w:spacing w:after="0"/>
              <w:rPr>
                <w:sz w:val="8"/>
                <w:szCs w:val="8"/>
                <w:color w:val="auto"/>
              </w:rPr>
            </w:pPr>
          </w:p>
        </w:tc>
        <w:tc>
          <w:tcPr>
            <w:tcW w:w="40" w:type="dxa"/>
            <w:vAlign w:val="bottom"/>
            <w:tcBorders>
              <w:right w:val="single" w:sz="8" w:color="9ADAF6"/>
            </w:tcBorders>
            <w:shd w:val="clear" w:color="auto" w:fill="9ADAF6"/>
          </w:tcPr>
          <w:p>
            <w:pPr>
              <w:spacing w:after="0"/>
              <w:rPr>
                <w:sz w:val="8"/>
                <w:szCs w:val="8"/>
                <w:color w:val="auto"/>
              </w:rPr>
            </w:pPr>
          </w:p>
        </w:tc>
        <w:tc>
          <w:tcPr>
            <w:tcW w:w="1780" w:type="dxa"/>
            <w:vAlign w:val="bottom"/>
            <w:gridSpan w:val="3"/>
            <w:vMerge w:val="restart"/>
            <w:shd w:val="clear" w:color="auto" w:fill="9ADAF6"/>
          </w:tcPr>
          <w:p>
            <w:pPr>
              <w:jc w:val="center"/>
              <w:ind w:right="158"/>
              <w:spacing w:after="0" w:line="192" w:lineRule="exact"/>
              <w:rPr>
                <w:sz w:val="20"/>
                <w:szCs w:val="20"/>
                <w:color w:val="auto"/>
              </w:rPr>
            </w:pPr>
            <w:r>
              <w:rPr>
                <w:rFonts w:ascii="Arial" w:cs="Arial" w:eastAsia="Arial" w:hAnsi="Arial"/>
                <w:sz w:val="17"/>
                <w:szCs w:val="17"/>
                <w:b w:val="1"/>
                <w:bCs w:val="1"/>
                <w:color w:val="auto"/>
              </w:rPr>
              <w:t>Offering Price of</w:t>
            </w:r>
          </w:p>
        </w:tc>
        <w:tc>
          <w:tcPr>
            <w:tcW w:w="20" w:type="dxa"/>
            <w:vAlign w:val="bottom"/>
          </w:tcPr>
          <w:p>
            <w:pPr>
              <w:spacing w:after="0"/>
              <w:rPr>
                <w:sz w:val="8"/>
                <w:szCs w:val="8"/>
                <w:color w:val="auto"/>
              </w:rPr>
            </w:pPr>
          </w:p>
        </w:tc>
        <w:tc>
          <w:tcPr>
            <w:tcW w:w="8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560" w:type="dxa"/>
            <w:vAlign w:val="bottom"/>
            <w:vMerge w:val="restart"/>
            <w:shd w:val="clear" w:color="auto" w:fill="9ADAF6"/>
          </w:tcPr>
          <w:p>
            <w:pPr>
              <w:ind w:left="20"/>
              <w:spacing w:after="0" w:line="192" w:lineRule="exact"/>
              <w:rPr>
                <w:sz w:val="20"/>
                <w:szCs w:val="20"/>
                <w:color w:val="auto"/>
              </w:rPr>
            </w:pPr>
            <w:r>
              <w:rPr>
                <w:rFonts w:ascii="Arial" w:cs="Arial" w:eastAsia="Arial" w:hAnsi="Arial"/>
                <w:sz w:val="17"/>
                <w:szCs w:val="17"/>
                <w:b w:val="1"/>
                <w:bCs w:val="1"/>
                <w:color w:val="auto"/>
              </w:rPr>
              <w:t>Form</w:t>
            </w:r>
          </w:p>
        </w:tc>
        <w:tc>
          <w:tcPr>
            <w:tcW w:w="20" w:type="dxa"/>
            <w:vAlign w:val="bottom"/>
          </w:tcPr>
          <w:p>
            <w:pPr>
              <w:spacing w:after="0"/>
              <w:rPr>
                <w:sz w:val="8"/>
                <w:szCs w:val="8"/>
                <w:color w:val="auto"/>
              </w:rPr>
            </w:pPr>
          </w:p>
        </w:tc>
        <w:tc>
          <w:tcPr>
            <w:tcW w:w="36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7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shd w:val="clear" w:color="auto" w:fill="9ADAF6"/>
          </w:tcPr>
          <w:p>
            <w:pPr>
              <w:spacing w:after="0"/>
              <w:rPr>
                <w:sz w:val="8"/>
                <w:szCs w:val="8"/>
                <w:color w:val="auto"/>
              </w:rPr>
            </w:pPr>
          </w:p>
        </w:tc>
        <w:tc>
          <w:tcPr>
            <w:tcW w:w="720" w:type="dxa"/>
            <w:vAlign w:val="bottom"/>
            <w:tcBorders>
              <w:right w:val="single" w:sz="8" w:color="auto"/>
            </w:tcBorders>
            <w:gridSpan w:val="3"/>
            <w:vMerge w:val="continue"/>
            <w:shd w:val="clear" w:color="auto" w:fill="9ADAF6"/>
          </w:tcPr>
          <w:p>
            <w:pPr>
              <w:spacing w:after="0"/>
              <w:rPr>
                <w:sz w:val="8"/>
                <w:szCs w:val="8"/>
                <w:color w:val="auto"/>
              </w:rPr>
            </w:pPr>
          </w:p>
        </w:tc>
        <w:tc>
          <w:tcPr>
            <w:tcW w:w="0" w:type="dxa"/>
            <w:vAlign w:val="bottom"/>
          </w:tcPr>
          <w:p>
            <w:pPr>
              <w:spacing w:after="0"/>
              <w:rPr>
                <w:sz w:val="1"/>
                <w:szCs w:val="1"/>
                <w:color w:val="auto"/>
              </w:rPr>
            </w:pPr>
          </w:p>
        </w:tc>
      </w:tr>
      <w:tr>
        <w:trPr>
          <w:trHeight w:val="96"/>
        </w:trPr>
        <w:tc>
          <w:tcPr>
            <w:tcW w:w="40" w:type="dxa"/>
            <w:vAlign w:val="bottom"/>
            <w:tcBorders>
              <w:left w:val="single" w:sz="8" w:color="auto"/>
            </w:tcBorders>
          </w:tcPr>
          <w:p>
            <w:pPr>
              <w:spacing w:after="0"/>
              <w:rPr>
                <w:sz w:val="8"/>
                <w:szCs w:val="8"/>
                <w:color w:val="auto"/>
              </w:rPr>
            </w:pPr>
          </w:p>
        </w:tc>
        <w:tc>
          <w:tcPr>
            <w:tcW w:w="4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540" w:type="dxa"/>
            <w:vAlign w:val="bottom"/>
            <w:gridSpan w:val="5"/>
            <w:vMerge w:val="restart"/>
            <w:shd w:val="clear" w:color="auto" w:fill="9ADAF6"/>
          </w:tcPr>
          <w:p>
            <w:pPr>
              <w:ind w:left="220"/>
              <w:spacing w:after="0" w:line="192" w:lineRule="exact"/>
              <w:rPr>
                <w:sz w:val="20"/>
                <w:szCs w:val="20"/>
                <w:color w:val="auto"/>
              </w:rPr>
            </w:pPr>
            <w:r>
              <w:rPr>
                <w:rFonts w:ascii="Arial" w:cs="Arial" w:eastAsia="Arial" w:hAnsi="Arial"/>
                <w:sz w:val="17"/>
                <w:szCs w:val="17"/>
                <w:b w:val="1"/>
                <w:bCs w:val="1"/>
                <w:color w:val="auto"/>
              </w:rPr>
              <w:t>Security Type</w:t>
            </w:r>
          </w:p>
        </w:tc>
        <w:tc>
          <w:tcPr>
            <w:tcW w:w="20" w:type="dxa"/>
            <w:vAlign w:val="bottom"/>
          </w:tcPr>
          <w:p>
            <w:pPr>
              <w:spacing w:after="0"/>
              <w:rPr>
                <w:sz w:val="8"/>
                <w:szCs w:val="8"/>
                <w:color w:val="auto"/>
              </w:rPr>
            </w:pPr>
          </w:p>
        </w:tc>
        <w:tc>
          <w:tcPr>
            <w:tcW w:w="2640" w:type="dxa"/>
            <w:vAlign w:val="bottom"/>
            <w:gridSpan w:val="5"/>
            <w:vMerge w:val="restart"/>
            <w:shd w:val="clear" w:color="auto" w:fill="9ADAF6"/>
          </w:tcPr>
          <w:p>
            <w:pPr>
              <w:ind w:left="620"/>
              <w:spacing w:after="0" w:line="192" w:lineRule="exact"/>
              <w:rPr>
                <w:sz w:val="20"/>
                <w:szCs w:val="20"/>
                <w:color w:val="auto"/>
              </w:rPr>
            </w:pPr>
            <w:r>
              <w:rPr>
                <w:rFonts w:ascii="Arial" w:cs="Arial" w:eastAsia="Arial" w:hAnsi="Arial"/>
                <w:sz w:val="17"/>
                <w:szCs w:val="17"/>
                <w:b w:val="1"/>
                <w:bCs w:val="1"/>
                <w:color w:val="auto"/>
              </w:rPr>
              <w:t>Security Class Title</w:t>
            </w:r>
          </w:p>
        </w:tc>
        <w:tc>
          <w:tcPr>
            <w:tcW w:w="20" w:type="dxa"/>
            <w:vAlign w:val="bottom"/>
            <w:shd w:val="clear" w:color="auto" w:fill="9ADAF6"/>
          </w:tcPr>
          <w:p>
            <w:pPr>
              <w:spacing w:after="0"/>
              <w:rPr>
                <w:sz w:val="8"/>
                <w:szCs w:val="8"/>
                <w:color w:val="auto"/>
              </w:rPr>
            </w:pPr>
          </w:p>
        </w:tc>
        <w:tc>
          <w:tcPr>
            <w:tcW w:w="1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shd w:val="clear" w:color="auto" w:fill="9ADAF6"/>
          </w:tcPr>
          <w:p>
            <w:pPr>
              <w:spacing w:after="0"/>
              <w:rPr>
                <w:sz w:val="8"/>
                <w:szCs w:val="8"/>
                <w:color w:val="auto"/>
              </w:rPr>
            </w:pPr>
          </w:p>
        </w:tc>
        <w:tc>
          <w:tcPr>
            <w:tcW w:w="1200" w:type="dxa"/>
            <w:vAlign w:val="bottom"/>
            <w:gridSpan w:val="5"/>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shd w:val="clear" w:color="auto" w:fill="9ADAF6"/>
          </w:tcPr>
          <w:p>
            <w:pPr>
              <w:spacing w:after="0"/>
              <w:rPr>
                <w:sz w:val="8"/>
                <w:szCs w:val="8"/>
                <w:color w:val="auto"/>
              </w:rPr>
            </w:pPr>
          </w:p>
        </w:tc>
        <w:tc>
          <w:tcPr>
            <w:tcW w:w="80" w:type="dxa"/>
            <w:vAlign w:val="bottom"/>
            <w:shd w:val="clear" w:color="auto" w:fill="9ADAF6"/>
          </w:tcPr>
          <w:p>
            <w:pPr>
              <w:spacing w:after="0"/>
              <w:rPr>
                <w:sz w:val="8"/>
                <w:szCs w:val="8"/>
                <w:color w:val="auto"/>
              </w:rPr>
            </w:pPr>
          </w:p>
        </w:tc>
        <w:tc>
          <w:tcPr>
            <w:tcW w:w="40" w:type="dxa"/>
            <w:vAlign w:val="bottom"/>
            <w:tcBorders>
              <w:right w:val="single" w:sz="8" w:color="9ADAF6"/>
            </w:tcBorders>
            <w:shd w:val="clear" w:color="auto" w:fill="9ADAF6"/>
          </w:tcPr>
          <w:p>
            <w:pPr>
              <w:spacing w:after="0"/>
              <w:rPr>
                <w:sz w:val="8"/>
                <w:szCs w:val="8"/>
                <w:color w:val="auto"/>
              </w:rPr>
            </w:pPr>
          </w:p>
        </w:tc>
        <w:tc>
          <w:tcPr>
            <w:tcW w:w="1780" w:type="dxa"/>
            <w:vAlign w:val="bottom"/>
            <w:gridSpan w:val="3"/>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56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120" w:type="dxa"/>
            <w:vAlign w:val="bottom"/>
            <w:gridSpan w:val="3"/>
            <w:vMerge w:val="restart"/>
            <w:shd w:val="clear" w:color="auto" w:fill="9ADAF6"/>
          </w:tcPr>
          <w:p>
            <w:pPr>
              <w:ind w:left="80"/>
              <w:spacing w:after="0" w:line="192" w:lineRule="exact"/>
              <w:rPr>
                <w:sz w:val="20"/>
                <w:szCs w:val="20"/>
                <w:color w:val="auto"/>
              </w:rPr>
            </w:pPr>
            <w:r>
              <w:rPr>
                <w:rFonts w:ascii="Arial" w:cs="Arial" w:eastAsia="Arial" w:hAnsi="Arial"/>
                <w:sz w:val="17"/>
                <w:szCs w:val="17"/>
                <w:b w:val="1"/>
                <w:bCs w:val="1"/>
                <w:color w:val="auto"/>
              </w:rPr>
              <w:t>File Number</w:t>
            </w:r>
          </w:p>
        </w:tc>
        <w:tc>
          <w:tcPr>
            <w:tcW w:w="20" w:type="dxa"/>
            <w:vAlign w:val="bottom"/>
          </w:tcPr>
          <w:p>
            <w:pPr>
              <w:spacing w:after="0"/>
              <w:rPr>
                <w:sz w:val="8"/>
                <w:szCs w:val="8"/>
                <w:color w:val="auto"/>
              </w:rPr>
            </w:pPr>
          </w:p>
        </w:tc>
        <w:tc>
          <w:tcPr>
            <w:tcW w:w="940" w:type="dxa"/>
            <w:vAlign w:val="bottom"/>
            <w:tcBorders>
              <w:right w:val="single" w:sz="8" w:color="auto"/>
            </w:tcBorders>
            <w:gridSpan w:val="4"/>
            <w:vMerge w:val="restart"/>
            <w:shd w:val="clear" w:color="auto" w:fill="9ADAF6"/>
          </w:tcPr>
          <w:p>
            <w:pPr>
              <w:jc w:val="center"/>
              <w:ind w:right="20"/>
              <w:spacing w:after="0" w:line="192" w:lineRule="exact"/>
              <w:rPr>
                <w:sz w:val="20"/>
                <w:szCs w:val="20"/>
                <w:color w:val="auto"/>
              </w:rPr>
            </w:pPr>
            <w:r>
              <w:rPr>
                <w:rFonts w:ascii="Arial" w:cs="Arial" w:eastAsia="Arial" w:hAnsi="Arial"/>
                <w:sz w:val="17"/>
                <w:szCs w:val="17"/>
                <w:b w:val="1"/>
                <w:bCs w:val="1"/>
                <w:color w:val="auto"/>
              </w:rPr>
              <w:t>Effective</w:t>
            </w:r>
          </w:p>
        </w:tc>
        <w:tc>
          <w:tcPr>
            <w:tcW w:w="0" w:type="dxa"/>
            <w:vAlign w:val="bottom"/>
          </w:tcPr>
          <w:p>
            <w:pPr>
              <w:spacing w:after="0"/>
              <w:rPr>
                <w:sz w:val="1"/>
                <w:szCs w:val="1"/>
                <w:color w:val="auto"/>
              </w:rPr>
            </w:pPr>
          </w:p>
        </w:tc>
      </w:tr>
      <w:tr>
        <w:trPr>
          <w:trHeight w:val="96"/>
        </w:trPr>
        <w:tc>
          <w:tcPr>
            <w:tcW w:w="40" w:type="dxa"/>
            <w:vAlign w:val="bottom"/>
            <w:tcBorders>
              <w:left w:val="single" w:sz="8" w:color="auto"/>
            </w:tcBorders>
          </w:tcPr>
          <w:p>
            <w:pPr>
              <w:spacing w:after="0"/>
              <w:rPr>
                <w:sz w:val="8"/>
                <w:szCs w:val="8"/>
                <w:color w:val="auto"/>
              </w:rPr>
            </w:pPr>
          </w:p>
        </w:tc>
        <w:tc>
          <w:tcPr>
            <w:tcW w:w="4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540" w:type="dxa"/>
            <w:vAlign w:val="bottom"/>
            <w:gridSpan w:val="5"/>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2640" w:type="dxa"/>
            <w:vAlign w:val="bottom"/>
            <w:gridSpan w:val="5"/>
            <w:vMerge w:val="continue"/>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1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580" w:type="dxa"/>
            <w:vAlign w:val="bottom"/>
            <w:gridSpan w:val="6"/>
            <w:vMerge w:val="restart"/>
            <w:shd w:val="clear" w:color="auto" w:fill="9ADAF6"/>
          </w:tcPr>
          <w:p>
            <w:pPr>
              <w:jc w:val="center"/>
              <w:spacing w:after="0" w:line="192" w:lineRule="exact"/>
              <w:rPr>
                <w:sz w:val="20"/>
                <w:szCs w:val="20"/>
                <w:color w:val="auto"/>
              </w:rPr>
            </w:pPr>
            <w:r>
              <w:rPr>
                <w:rFonts w:ascii="Arial" w:cs="Arial" w:eastAsia="Arial" w:hAnsi="Arial"/>
                <w:sz w:val="17"/>
                <w:szCs w:val="17"/>
                <w:b w:val="1"/>
                <w:bCs w:val="1"/>
                <w:color w:val="auto"/>
                <w:w w:val="99"/>
              </w:rPr>
              <w:t>Previously</w:t>
            </w:r>
          </w:p>
        </w:tc>
        <w:tc>
          <w:tcPr>
            <w:tcW w:w="20" w:type="dxa"/>
            <w:vAlign w:val="bottom"/>
          </w:tcPr>
          <w:p>
            <w:pPr>
              <w:spacing w:after="0"/>
              <w:rPr>
                <w:sz w:val="8"/>
                <w:szCs w:val="8"/>
                <w:color w:val="auto"/>
              </w:rPr>
            </w:pPr>
          </w:p>
        </w:tc>
        <w:tc>
          <w:tcPr>
            <w:tcW w:w="120" w:type="dxa"/>
            <w:vAlign w:val="bottom"/>
            <w:shd w:val="clear" w:color="auto" w:fill="9ADAF6"/>
          </w:tcPr>
          <w:p>
            <w:pPr>
              <w:spacing w:after="0"/>
              <w:rPr>
                <w:sz w:val="8"/>
                <w:szCs w:val="8"/>
                <w:color w:val="auto"/>
              </w:rPr>
            </w:pPr>
          </w:p>
        </w:tc>
        <w:tc>
          <w:tcPr>
            <w:tcW w:w="1900" w:type="dxa"/>
            <w:vAlign w:val="bottom"/>
            <w:gridSpan w:val="5"/>
            <w:vMerge w:val="restart"/>
            <w:shd w:val="clear" w:color="auto" w:fill="9ADAF6"/>
          </w:tcPr>
          <w:p>
            <w:pPr>
              <w:jc w:val="center"/>
              <w:ind w:right="58"/>
              <w:spacing w:after="0" w:line="192" w:lineRule="exact"/>
              <w:rPr>
                <w:sz w:val="20"/>
                <w:szCs w:val="20"/>
                <w:color w:val="auto"/>
              </w:rPr>
            </w:pPr>
            <w:r>
              <w:rPr>
                <w:rFonts w:ascii="Arial" w:cs="Arial" w:eastAsia="Arial" w:hAnsi="Arial"/>
                <w:sz w:val="17"/>
                <w:szCs w:val="17"/>
                <w:b w:val="1"/>
                <w:bCs w:val="1"/>
                <w:color w:val="auto"/>
                <w:w w:val="99"/>
              </w:rPr>
              <w:t>Securities Previously</w:t>
            </w:r>
          </w:p>
        </w:tc>
        <w:tc>
          <w:tcPr>
            <w:tcW w:w="20" w:type="dxa"/>
            <w:vAlign w:val="bottom"/>
          </w:tcPr>
          <w:p>
            <w:pPr>
              <w:spacing w:after="0"/>
              <w:rPr>
                <w:sz w:val="8"/>
                <w:szCs w:val="8"/>
                <w:color w:val="auto"/>
              </w:rPr>
            </w:pPr>
          </w:p>
        </w:tc>
        <w:tc>
          <w:tcPr>
            <w:tcW w:w="8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560" w:type="dxa"/>
            <w:vAlign w:val="bottom"/>
            <w:vMerge w:val="restart"/>
            <w:shd w:val="clear" w:color="auto" w:fill="9ADAF6"/>
          </w:tcPr>
          <w:p>
            <w:pPr>
              <w:ind w:left="40"/>
              <w:spacing w:after="0" w:line="192" w:lineRule="exact"/>
              <w:rPr>
                <w:sz w:val="20"/>
                <w:szCs w:val="20"/>
                <w:color w:val="auto"/>
              </w:rPr>
            </w:pPr>
            <w:r>
              <w:rPr>
                <w:rFonts w:ascii="Arial" w:cs="Arial" w:eastAsia="Arial" w:hAnsi="Arial"/>
                <w:sz w:val="17"/>
                <w:szCs w:val="17"/>
                <w:b w:val="1"/>
                <w:bCs w:val="1"/>
                <w:color w:val="auto"/>
              </w:rPr>
              <w:t>Type</w:t>
            </w:r>
          </w:p>
        </w:tc>
        <w:tc>
          <w:tcPr>
            <w:tcW w:w="20" w:type="dxa"/>
            <w:vAlign w:val="bottom"/>
          </w:tcPr>
          <w:p>
            <w:pPr>
              <w:spacing w:after="0"/>
              <w:rPr>
                <w:sz w:val="8"/>
                <w:szCs w:val="8"/>
                <w:color w:val="auto"/>
              </w:rPr>
            </w:pPr>
          </w:p>
        </w:tc>
        <w:tc>
          <w:tcPr>
            <w:tcW w:w="1120" w:type="dxa"/>
            <w:vAlign w:val="bottom"/>
            <w:gridSpan w:val="3"/>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940" w:type="dxa"/>
            <w:vAlign w:val="bottom"/>
            <w:tcBorders>
              <w:right w:val="single" w:sz="8" w:color="auto"/>
            </w:tcBorders>
            <w:gridSpan w:val="4"/>
            <w:vMerge w:val="continue"/>
            <w:shd w:val="clear" w:color="auto" w:fill="9ADAF6"/>
          </w:tcPr>
          <w:p>
            <w:pPr>
              <w:spacing w:after="0"/>
              <w:rPr>
                <w:sz w:val="8"/>
                <w:szCs w:val="8"/>
                <w:color w:val="auto"/>
              </w:rPr>
            </w:pPr>
          </w:p>
        </w:tc>
        <w:tc>
          <w:tcPr>
            <w:tcW w:w="0" w:type="dxa"/>
            <w:vAlign w:val="bottom"/>
          </w:tcPr>
          <w:p>
            <w:pPr>
              <w:spacing w:after="0"/>
              <w:rPr>
                <w:sz w:val="1"/>
                <w:szCs w:val="1"/>
                <w:color w:val="auto"/>
              </w:rPr>
            </w:pPr>
          </w:p>
        </w:tc>
      </w:tr>
      <w:tr>
        <w:trPr>
          <w:trHeight w:val="96"/>
        </w:trPr>
        <w:tc>
          <w:tcPr>
            <w:tcW w:w="40" w:type="dxa"/>
            <w:vAlign w:val="bottom"/>
            <w:tcBorders>
              <w:left w:val="single" w:sz="8" w:color="auto"/>
            </w:tcBorders>
          </w:tcPr>
          <w:p>
            <w:pPr>
              <w:spacing w:after="0"/>
              <w:rPr>
                <w:sz w:val="8"/>
                <w:szCs w:val="8"/>
                <w:color w:val="auto"/>
              </w:rPr>
            </w:pPr>
          </w:p>
        </w:tc>
        <w:tc>
          <w:tcPr>
            <w:tcW w:w="4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68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30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24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62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74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1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580" w:type="dxa"/>
            <w:vAlign w:val="bottom"/>
            <w:gridSpan w:val="6"/>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shd w:val="clear" w:color="auto" w:fill="9ADAF6"/>
          </w:tcPr>
          <w:p>
            <w:pPr>
              <w:spacing w:after="0"/>
              <w:rPr>
                <w:sz w:val="8"/>
                <w:szCs w:val="8"/>
                <w:color w:val="auto"/>
              </w:rPr>
            </w:pPr>
          </w:p>
        </w:tc>
        <w:tc>
          <w:tcPr>
            <w:tcW w:w="1900" w:type="dxa"/>
            <w:vAlign w:val="bottom"/>
            <w:gridSpan w:val="5"/>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56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7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700" w:type="dxa"/>
            <w:vAlign w:val="bottom"/>
            <w:tcBorders>
              <w:right w:val="single" w:sz="8" w:color="auto"/>
            </w:tcBorders>
            <w:gridSpan w:val="2"/>
            <w:vMerge w:val="restart"/>
            <w:shd w:val="clear" w:color="auto" w:fill="9ADAF6"/>
          </w:tcPr>
          <w:p>
            <w:pPr>
              <w:jc w:val="center"/>
              <w:ind w:right="260"/>
              <w:spacing w:after="0"/>
              <w:rPr>
                <w:sz w:val="20"/>
                <w:szCs w:val="20"/>
                <w:color w:val="auto"/>
              </w:rPr>
            </w:pPr>
            <w:r>
              <w:rPr>
                <w:rFonts w:ascii="Arial" w:cs="Arial" w:eastAsia="Arial" w:hAnsi="Arial"/>
                <w:sz w:val="17"/>
                <w:szCs w:val="17"/>
                <w:b w:val="1"/>
                <w:bCs w:val="1"/>
                <w:color w:val="auto"/>
                <w:w w:val="97"/>
              </w:rPr>
              <w:t>Date</w:t>
            </w:r>
          </w:p>
        </w:tc>
        <w:tc>
          <w:tcPr>
            <w:tcW w:w="0" w:type="dxa"/>
            <w:vAlign w:val="bottom"/>
          </w:tcPr>
          <w:p>
            <w:pPr>
              <w:spacing w:after="0"/>
              <w:rPr>
                <w:sz w:val="1"/>
                <w:szCs w:val="1"/>
                <w:color w:val="auto"/>
              </w:rPr>
            </w:pPr>
          </w:p>
        </w:tc>
      </w:tr>
      <w:tr>
        <w:trPr>
          <w:trHeight w:val="136"/>
        </w:trPr>
        <w:tc>
          <w:tcPr>
            <w:tcW w:w="40" w:type="dxa"/>
            <w:vAlign w:val="bottom"/>
            <w:tcBorders>
              <w:left w:val="single" w:sz="8" w:color="auto"/>
            </w:tcBorders>
          </w:tcPr>
          <w:p>
            <w:pPr>
              <w:spacing w:after="0"/>
              <w:rPr>
                <w:sz w:val="11"/>
                <w:szCs w:val="11"/>
                <w:color w:val="auto"/>
              </w:rPr>
            </w:pPr>
          </w:p>
        </w:tc>
        <w:tc>
          <w:tcPr>
            <w:tcW w:w="44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52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68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30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124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62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74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14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1580" w:type="dxa"/>
            <w:vAlign w:val="bottom"/>
            <w:gridSpan w:val="6"/>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rPr>
              <w:t>Registered</w:t>
            </w:r>
          </w:p>
        </w:tc>
        <w:tc>
          <w:tcPr>
            <w:tcW w:w="20" w:type="dxa"/>
            <w:vAlign w:val="bottom"/>
          </w:tcPr>
          <w:p>
            <w:pPr>
              <w:spacing w:after="0"/>
              <w:rPr>
                <w:sz w:val="11"/>
                <w:szCs w:val="11"/>
                <w:color w:val="auto"/>
              </w:rPr>
            </w:pPr>
          </w:p>
        </w:tc>
        <w:tc>
          <w:tcPr>
            <w:tcW w:w="120" w:type="dxa"/>
            <w:vAlign w:val="bottom"/>
            <w:shd w:val="clear" w:color="auto" w:fill="9ADAF6"/>
          </w:tcPr>
          <w:p>
            <w:pPr>
              <w:spacing w:after="0"/>
              <w:rPr>
                <w:sz w:val="11"/>
                <w:szCs w:val="11"/>
                <w:color w:val="auto"/>
              </w:rPr>
            </w:pPr>
          </w:p>
        </w:tc>
        <w:tc>
          <w:tcPr>
            <w:tcW w:w="80" w:type="dxa"/>
            <w:vAlign w:val="bottom"/>
            <w:shd w:val="clear" w:color="auto" w:fill="9ADAF6"/>
          </w:tcPr>
          <w:p>
            <w:pPr>
              <w:spacing w:after="0"/>
              <w:rPr>
                <w:sz w:val="11"/>
                <w:szCs w:val="11"/>
                <w:color w:val="auto"/>
              </w:rPr>
            </w:pPr>
          </w:p>
        </w:tc>
        <w:tc>
          <w:tcPr>
            <w:tcW w:w="40" w:type="dxa"/>
            <w:vAlign w:val="bottom"/>
            <w:tcBorders>
              <w:right w:val="single" w:sz="8" w:color="9ADAF6"/>
            </w:tcBorders>
            <w:shd w:val="clear" w:color="auto" w:fill="9ADAF6"/>
          </w:tcPr>
          <w:p>
            <w:pPr>
              <w:spacing w:after="0"/>
              <w:rPr>
                <w:sz w:val="11"/>
                <w:szCs w:val="11"/>
                <w:color w:val="auto"/>
              </w:rPr>
            </w:pPr>
          </w:p>
        </w:tc>
        <w:tc>
          <w:tcPr>
            <w:tcW w:w="1780" w:type="dxa"/>
            <w:vAlign w:val="bottom"/>
            <w:gridSpan w:val="3"/>
            <w:vMerge w:val="restart"/>
            <w:shd w:val="clear" w:color="auto" w:fill="9ADAF6"/>
          </w:tcPr>
          <w:p>
            <w:pPr>
              <w:jc w:val="center"/>
              <w:ind w:right="178"/>
              <w:spacing w:after="0"/>
              <w:rPr>
                <w:sz w:val="20"/>
                <w:szCs w:val="20"/>
                <w:color w:val="auto"/>
              </w:rPr>
            </w:pPr>
            <w:r>
              <w:rPr>
                <w:rFonts w:ascii="Arial" w:cs="Arial" w:eastAsia="Arial" w:hAnsi="Arial"/>
                <w:sz w:val="17"/>
                <w:szCs w:val="17"/>
                <w:b w:val="1"/>
                <w:bCs w:val="1"/>
                <w:color w:val="auto"/>
              </w:rPr>
              <w:t>Registered</w:t>
            </w:r>
          </w:p>
        </w:tc>
        <w:tc>
          <w:tcPr>
            <w:tcW w:w="20" w:type="dxa"/>
            <w:vAlign w:val="bottom"/>
          </w:tcPr>
          <w:p>
            <w:pPr>
              <w:spacing w:after="0"/>
              <w:rPr>
                <w:sz w:val="11"/>
                <w:szCs w:val="11"/>
                <w:color w:val="auto"/>
              </w:rPr>
            </w:pPr>
          </w:p>
        </w:tc>
        <w:tc>
          <w:tcPr>
            <w:tcW w:w="8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56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36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74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700" w:type="dxa"/>
            <w:vAlign w:val="bottom"/>
            <w:tcBorders>
              <w:right w:val="single" w:sz="8" w:color="auto"/>
            </w:tcBorders>
            <w:gridSpan w:val="2"/>
            <w:vMerge w:val="continue"/>
            <w:shd w:val="clear" w:color="auto" w:fill="9ADAF6"/>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40" w:type="dxa"/>
            <w:vAlign w:val="bottom"/>
            <w:tcBorders>
              <w:left w:val="single" w:sz="8" w:color="auto"/>
            </w:tcBorders>
          </w:tcPr>
          <w:p>
            <w:pPr>
              <w:spacing w:after="0"/>
              <w:rPr>
                <w:sz w:val="7"/>
                <w:szCs w:val="7"/>
                <w:color w:val="auto"/>
              </w:rPr>
            </w:pPr>
          </w:p>
        </w:tc>
        <w:tc>
          <w:tcPr>
            <w:tcW w:w="44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52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68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30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24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62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74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14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580" w:type="dxa"/>
            <w:vAlign w:val="bottom"/>
            <w:gridSpan w:val="6"/>
            <w:vMerge w:val="continue"/>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shd w:val="clear" w:color="auto" w:fill="9ADAF6"/>
          </w:tcPr>
          <w:p>
            <w:pPr>
              <w:spacing w:after="0"/>
              <w:rPr>
                <w:sz w:val="7"/>
                <w:szCs w:val="7"/>
                <w:color w:val="auto"/>
              </w:rPr>
            </w:pPr>
          </w:p>
        </w:tc>
        <w:tc>
          <w:tcPr>
            <w:tcW w:w="80" w:type="dxa"/>
            <w:vAlign w:val="bottom"/>
            <w:shd w:val="clear" w:color="auto" w:fill="9ADAF6"/>
          </w:tcPr>
          <w:p>
            <w:pPr>
              <w:spacing w:after="0"/>
              <w:rPr>
                <w:sz w:val="7"/>
                <w:szCs w:val="7"/>
                <w:color w:val="auto"/>
              </w:rPr>
            </w:pPr>
          </w:p>
        </w:tc>
        <w:tc>
          <w:tcPr>
            <w:tcW w:w="40" w:type="dxa"/>
            <w:vAlign w:val="bottom"/>
            <w:tcBorders>
              <w:right w:val="single" w:sz="8" w:color="9ADAF6"/>
            </w:tcBorders>
            <w:shd w:val="clear" w:color="auto" w:fill="9ADAF6"/>
          </w:tcPr>
          <w:p>
            <w:pPr>
              <w:spacing w:after="0"/>
              <w:rPr>
                <w:sz w:val="7"/>
                <w:szCs w:val="7"/>
                <w:color w:val="auto"/>
              </w:rPr>
            </w:pPr>
          </w:p>
        </w:tc>
        <w:tc>
          <w:tcPr>
            <w:tcW w:w="1780" w:type="dxa"/>
            <w:vAlign w:val="bottom"/>
            <w:gridSpan w:val="3"/>
            <w:vMerge w:val="continue"/>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56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36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74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22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640" w:type="dxa"/>
            <w:vAlign w:val="bottom"/>
            <w:shd w:val="clear" w:color="auto" w:fill="9ADAF6"/>
          </w:tcPr>
          <w:p>
            <w:pPr>
              <w:spacing w:after="0"/>
              <w:rPr>
                <w:sz w:val="7"/>
                <w:szCs w:val="7"/>
                <w:color w:val="auto"/>
              </w:rPr>
            </w:pPr>
          </w:p>
        </w:tc>
        <w:tc>
          <w:tcPr>
            <w:tcW w:w="60" w:type="dxa"/>
            <w:vAlign w:val="bottom"/>
            <w:tcBorders>
              <w:right w:val="single" w:sz="8" w:color="auto"/>
            </w:tcBorders>
            <w:shd w:val="clear" w:color="auto" w:fill="9ADAF6"/>
          </w:tcPr>
          <w:p>
            <w:pPr>
              <w:spacing w:after="0"/>
              <w:rPr>
                <w:sz w:val="7"/>
                <w:szCs w:val="7"/>
                <w:color w:val="auto"/>
              </w:rPr>
            </w:pPr>
          </w:p>
        </w:tc>
        <w:tc>
          <w:tcPr>
            <w:tcW w:w="0" w:type="dxa"/>
            <w:vAlign w:val="bottom"/>
          </w:tcPr>
          <w:p>
            <w:pPr>
              <w:spacing w:after="0"/>
              <w:rPr>
                <w:sz w:val="1"/>
                <w:szCs w:val="1"/>
                <w:color w:val="auto"/>
              </w:rPr>
            </w:pPr>
          </w:p>
        </w:tc>
      </w:tr>
      <w:tr>
        <w:trPr>
          <w:trHeight w:val="23"/>
        </w:trPr>
        <w:tc>
          <w:tcPr>
            <w:tcW w:w="40" w:type="dxa"/>
            <w:vAlign w:val="bottom"/>
            <w:tcBorders>
              <w:left w:val="single" w:sz="8" w:color="auto"/>
            </w:tcBorders>
          </w:tcPr>
          <w:p>
            <w:pPr>
              <w:spacing w:after="0" w:line="20" w:lineRule="exact"/>
              <w:rPr>
                <w:sz w:val="1"/>
                <w:szCs w:val="1"/>
                <w:color w:val="auto"/>
              </w:rPr>
            </w:pPr>
          </w:p>
        </w:tc>
        <w:tc>
          <w:tcPr>
            <w:tcW w:w="44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68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30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4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62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74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14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Borders>
              <w:bottom w:val="single" w:sz="8" w:color="E7E7E2"/>
            </w:tcBorders>
          </w:tcPr>
          <w:p>
            <w:pPr>
              <w:spacing w:after="0" w:line="20" w:lineRule="exact"/>
              <w:rPr>
                <w:sz w:val="1"/>
                <w:szCs w:val="1"/>
                <w:color w:val="auto"/>
              </w:rPr>
            </w:pPr>
          </w:p>
        </w:tc>
        <w:tc>
          <w:tcPr>
            <w:tcW w:w="8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62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46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E7E7E2"/>
            </w:tcBorders>
          </w:tcPr>
          <w:p>
            <w:pPr>
              <w:spacing w:after="0" w:line="20" w:lineRule="exact"/>
              <w:rPr>
                <w:sz w:val="1"/>
                <w:szCs w:val="1"/>
                <w:color w:val="auto"/>
              </w:rPr>
            </w:pPr>
          </w:p>
        </w:tc>
        <w:tc>
          <w:tcPr>
            <w:tcW w:w="80" w:type="dxa"/>
            <w:vAlign w:val="bottom"/>
            <w:tcBorders>
              <w:bottom w:val="single" w:sz="8" w:color="E7E7E2"/>
            </w:tcBorders>
          </w:tcPr>
          <w:p>
            <w:pPr>
              <w:spacing w:after="0" w:line="20" w:lineRule="exact"/>
              <w:rPr>
                <w:sz w:val="1"/>
                <w:szCs w:val="1"/>
                <w:color w:val="auto"/>
              </w:rPr>
            </w:pPr>
          </w:p>
        </w:tc>
        <w:tc>
          <w:tcPr>
            <w:tcW w:w="40" w:type="dxa"/>
            <w:vAlign w:val="bottom"/>
            <w:tcBorders>
              <w:bottom w:val="single" w:sz="8" w:color="E7E7E2"/>
            </w:tcBorders>
          </w:tcPr>
          <w:p>
            <w:pPr>
              <w:spacing w:after="0" w:line="20" w:lineRule="exact"/>
              <w:rPr>
                <w:sz w:val="1"/>
                <w:szCs w:val="1"/>
                <w:color w:val="auto"/>
              </w:rPr>
            </w:pPr>
          </w:p>
        </w:tc>
        <w:tc>
          <w:tcPr>
            <w:tcW w:w="92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84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56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74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640" w:type="dxa"/>
            <w:vAlign w:val="bottom"/>
            <w:tcBorders>
              <w:bottom w:val="single" w:sz="8" w:color="E7E7E2"/>
            </w:tcBorders>
          </w:tcPr>
          <w:p>
            <w:pPr>
              <w:spacing w:after="0" w:line="20" w:lineRule="exact"/>
              <w:rPr>
                <w:sz w:val="1"/>
                <w:szCs w:val="1"/>
                <w:color w:val="auto"/>
              </w:rPr>
            </w:pPr>
          </w:p>
        </w:tc>
        <w:tc>
          <w:tcPr>
            <w:tcW w:w="60" w:type="dxa"/>
            <w:vAlign w:val="bottom"/>
            <w:tcBorders>
              <w:bottom w:val="single" w:sz="8" w:color="E7E7E2"/>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40" w:type="dxa"/>
            <w:vAlign w:val="bottom"/>
            <w:tcBorders>
              <w:left w:val="single" w:sz="8" w:color="auto"/>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 w:lineRule="exact"/>
        <w:rPr>
          <w:sz w:val="20"/>
          <w:szCs w:val="20"/>
          <w:color w:val="auto"/>
        </w:rPr>
      </w:pPr>
    </w:p>
    <w:sectPr>
      <w:pgSz w:w="11900" w:h="16838" w:orient="portrait"/>
      <w:cols w:equalWidth="0" w:num="1">
        <w:col w:w="11360"/>
      </w:cols>
      <w:pgMar w:left="300" w:top="142" w:right="239" w:bottom="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E0C57B1"/>
    <w:multiLevelType w:val="hybridMultilevel"/>
    <w:lvl w:ilvl="0">
      <w:lvlJc w:val="left"/>
      <w:lvlText w:val="†"/>
      <w:numFmt w:val="bullet"/>
      <w:start w:val="1"/>
    </w:lvl>
  </w:abstractNum>
  <w:abstractNum w:abstractNumId="1">
    <w:nsid w:val="77AE35EB"/>
    <w:multiLevelType w:val="hybridMultilevel"/>
    <w:lvl w:ilvl="0">
      <w:lvlJc w:val="left"/>
      <w:lvlText w:val="•"/>
      <w:numFmt w:val="bullet"/>
      <w:start w:val="1"/>
    </w:lvl>
  </w:abstractNum>
  <w:abstractNum w:abstractNumId="2">
    <w:nsid w:val="579BE4F1"/>
    <w:multiLevelType w:val="hybridMultilevel"/>
    <w:lvl w:ilvl="0">
      <w:lvlJc w:val="left"/>
      <w:lvlText w:val="•"/>
      <w:numFmt w:val="bullet"/>
      <w:start w:val="1"/>
    </w:lvl>
  </w:abstractNum>
  <w:abstractNum w:abstractNumId="3">
    <w:nsid w:val="310C50B3"/>
    <w:multiLevelType w:val="hybridMultilevel"/>
    <w:lvl w:ilvl="0">
      <w:lvlJc w:val="left"/>
      <w:lvlText w:val="•"/>
      <w:numFmt w:val="bullet"/>
      <w:start w:val="1"/>
    </w:lvl>
  </w:abstractNum>
  <w:abstractNum w:abstractNumId="4">
    <w:nsid w:val="5FF87E05"/>
    <w:multiLevelType w:val="hybridMultilevel"/>
    <w:lvl w:ilvl="0">
      <w:lvlJc w:val="left"/>
      <w:lvlText w:val="•"/>
      <w:numFmt w:val="bullet"/>
      <w:start w:val="1"/>
    </w:lvl>
  </w:abstractNum>
  <w:abstractNum w:abstractNumId="5">
    <w:nsid w:val="2F305DEF"/>
    <w:multiLevelType w:val="hybridMultilevel"/>
    <w:lvl w:ilvl="0">
      <w:lvlJc w:val="left"/>
      <w:lvlText w:val="•"/>
      <w:numFmt w:val="bullet"/>
      <w:start w:val="1"/>
    </w:lvl>
  </w:abstractNum>
  <w:abstractNum w:abstractNumId="6">
    <w:nsid w:val="25A70BF7"/>
    <w:multiLevelType w:val="hybridMultilevel"/>
    <w:lvl w:ilvl="0">
      <w:lvlJc w:val="left"/>
      <w:lvlText w:val="•"/>
      <w:numFmt w:val="bullet"/>
      <w:start w:val="1"/>
    </w:lvl>
  </w:abstractNum>
  <w:abstractNum w:abstractNumId="7">
    <w:nsid w:val="1DBABF00"/>
    <w:multiLevelType w:val="hybridMultilevel"/>
    <w:lvl w:ilvl="0">
      <w:lvlJc w:val="left"/>
      <w:lvlText w:val="•"/>
      <w:numFmt w:val="bullet"/>
      <w:start w:val="1"/>
    </w:lvl>
  </w:abstractNum>
  <w:abstractNum w:abstractNumId="8">
    <w:nsid w:val="4AD084E9"/>
    <w:multiLevelType w:val="hybridMultilevel"/>
    <w:lvl w:ilvl="0">
      <w:lvlJc w:val="left"/>
      <w:lvlText w:val="(%1)"/>
      <w:numFmt w:val="decimal"/>
      <w:start w:val="1"/>
    </w:lvl>
    <w:lvl w:ilvl="1">
      <w:lvlJc w:val="left"/>
      <w:lvlText w:val="(%2)"/>
      <w:numFmt w:val="lowerRoman"/>
      <w:start w:val="1"/>
    </w:lvl>
  </w:abstractNum>
  <w:abstractNum w:abstractNumId="9">
    <w:nsid w:val="1F48EAA1"/>
    <w:multiLevelType w:val="hybridMultilevel"/>
    <w:lvl w:ilvl="0">
      <w:lvlJc w:val="left"/>
      <w:lvlText w:val="(%1)"/>
      <w:numFmt w:val="decimal"/>
      <w:start w:val="2"/>
    </w:lvl>
  </w:abstractNum>
  <w:abstractNum w:abstractNumId="10">
    <w:nsid w:val="1381823A"/>
    <w:multiLevelType w:val="hybridMultilevel"/>
    <w:lvl w:ilvl="0">
      <w:lvlJc w:val="left"/>
      <w:lvlText w:val="(%1)"/>
      <w:numFmt w:val="decimal"/>
      <w:start w:val="5"/>
    </w:lvl>
    <w:lvl w:ilvl="1">
      <w:lvlJc w:val="left"/>
      <w:lvlText w:val="(%2)"/>
      <w:numFmt w:val="lowerRoman"/>
      <w:start w:val="1"/>
    </w:lvl>
  </w:abstractNum>
  <w:abstractNum w:abstractNumId="11">
    <w:nsid w:val="5DB70AE5"/>
    <w:multiLevelType w:val="hybridMultilevel"/>
    <w:lvl w:ilvl="0">
      <w:lvlJc w:val="left"/>
      <w:lvlText w:val=" "/>
      <w:numFmt w:val="bullet"/>
      <w:start w:val="1"/>
    </w:lvl>
  </w:abstractNum>
  <w:abstractNum w:abstractNumId="12">
    <w:nsid w:val="100F8FCA"/>
    <w:multiLevelType w:val="hybridMultilevel"/>
    <w:lvl w:ilvl="0">
      <w:lvlJc w:val="left"/>
      <w:lvlText w:val="%1"/>
      <w:numFmt w:val="decimal"/>
      <w:start w:val="107"/>
    </w:lvl>
  </w:abstractNum>
  <w:abstractNum w:abstractNumId="13">
    <w:nsid w:val="6590700B"/>
    <w:multiLevelType w:val="hybridMultilevel"/>
    <w:lvl w:ilvl="0">
      <w:lvlJc w:val="left"/>
      <w:lvlText w:val="*"/>
      <w:numFmt w:val="bullet"/>
      <w:start w:val="1"/>
    </w:lvl>
  </w:abstractNum>
  <w:abstractNum w:abstractNumId="14">
    <w:nsid w:val="15014ACB"/>
    <w:multiLevelType w:val="hybridMultilevel"/>
    <w:lvl w:ilvl="0">
      <w:lvlJc w:val="left"/>
      <w:lvlText w:val="*"/>
      <w:numFmt w:val="bullet"/>
      <w:start w:val="1"/>
    </w:lvl>
  </w:abstractNum>
  <w:abstractNum w:abstractNumId="15">
    <w:nsid w:val="5F5E7FD0"/>
    <w:multiLevelType w:val="hybridMultilevel"/>
    <w:lvl w:ilvl="0">
      <w:lvlJc w:val="left"/>
      <w:lvlText w:val="*"/>
      <w:numFmt w:val="bullet"/>
      <w:start w:val="1"/>
    </w:lvl>
  </w:abstractNum>
  <w:abstractNum w:abstractNumId="16">
    <w:nsid w:val="98A3148"/>
    <w:multiLevelType w:val="hybridMultilevel"/>
    <w:lvl w:ilvl="0">
      <w:lvlJc w:val="left"/>
      <w:lvlText w:val="(%1)"/>
      <w:numFmt w:val="lowerLetter"/>
      <w:start w:val="1"/>
    </w:lvl>
  </w:abstractNum>
  <w:abstractNum w:abstractNumId="17">
    <w:nsid w:val="799D0247"/>
    <w:multiLevelType w:val="hybridMultilevel"/>
    <w:lvl w:ilvl="0">
      <w:lvlJc w:val="left"/>
      <w:lvlText w:val="(%1)"/>
      <w:numFmt w:val="lowerLetter"/>
      <w:start w:val="1"/>
    </w:lvl>
  </w:abstractNum>
  <w:abstractNum w:abstractNumId="18">
    <w:nsid w:val="6B94764"/>
    <w:multiLevelType w:val="hybridMultilevel"/>
    <w:lvl w:ilvl="0">
      <w:lvlJc w:val="left"/>
      <w:lvlText w:val="(%1)"/>
      <w:numFmt w:val="lowerLetter"/>
      <w:start w:val="1"/>
    </w:lvl>
  </w:abstractNum>
  <w:abstractNum w:abstractNumId="19">
    <w:nsid w:val="42C296BD"/>
    <w:multiLevelType w:val="hybridMultilevel"/>
    <w:lvl w:ilvl="0">
      <w:lvlJc w:val="left"/>
      <w:lvlText w:val="(%1)"/>
      <w:numFmt w:val="lowerLetter"/>
      <w:start w:val="2"/>
    </w:lvl>
  </w:abstractNum>
  <w:abstractNum w:abstractNumId="20">
    <w:nsid w:val="168E121F"/>
    <w:multiLevelType w:val="hybridMultilevel"/>
    <w:lvl w:ilvl="0">
      <w:lvlJc w:val="left"/>
      <w:lvlText w:val="(%1)"/>
      <w:numFmt w:val="lowerLetter"/>
      <w:start w:val="5"/>
    </w:lvl>
  </w:abstractNum>
  <w:abstractNum w:abstractNumId="21">
    <w:nsid w:val="1EBA5D23"/>
    <w:multiLevelType w:val="hybridMultilevel"/>
    <w:lvl w:ilvl="0">
      <w:lvlJc w:val="left"/>
      <w:lvlText w:val="(%1)"/>
      <w:numFmt w:val="lowerLetter"/>
      <w:start w:val="9"/>
    </w:lvl>
  </w:abstractNum>
  <w:abstractNum w:abstractNumId="22">
    <w:nsid w:val="661E3F1E"/>
    <w:multiLevelType w:val="hybridMultilevel"/>
    <w:lvl w:ilvl="0">
      <w:lvlJc w:val="left"/>
      <w:lvlText w:val="(%1)"/>
      <w:numFmt w:val="lowerLetter"/>
      <w:start w:val="1"/>
    </w:lvl>
  </w:abstractNum>
  <w:abstractNum w:abstractNumId="23">
    <w:nsid w:val="5DC79EA8"/>
    <w:multiLevelType w:val="hybridMultilevel"/>
    <w:lvl w:ilvl="0">
      <w:lvlJc w:val="left"/>
      <w:lvlText w:val="(%1)"/>
      <w:numFmt w:val="lowerLetter"/>
      <w:start w:val="1"/>
    </w:lvl>
  </w:abstractNum>
  <w:abstractNum w:abstractNumId="24">
    <w:nsid w:val="540A471C"/>
    <w:multiLevelType w:val="hybridMultilevel"/>
    <w:lvl w:ilvl="0">
      <w:lvlJc w:val="left"/>
      <w:lvlText w:val="(%1)"/>
      <w:numFmt w:val="lowerLetter"/>
      <w:start w:val="3"/>
    </w:lvl>
  </w:abstractNum>
  <w:abstractNum w:abstractNumId="25">
    <w:nsid w:val="7BD3EE7B"/>
    <w:multiLevelType w:val="hybridMultilevel"/>
    <w:lvl w:ilvl="0">
      <w:lvlJc w:val="left"/>
      <w:lvlText w:val="(%1)"/>
      <w:numFmt w:val="lowerLetter"/>
      <w:start w:val="1"/>
    </w:lvl>
  </w:abstractNum>
  <w:abstractNum w:abstractNumId="26">
    <w:nsid w:val="51D9C564"/>
    <w:multiLevelType w:val="hybridMultilevel"/>
    <w:lvl w:ilvl="0">
      <w:lvlJc w:val="left"/>
      <w:lvlText w:val="(%1)"/>
      <w:numFmt w:val="lowerLetter"/>
      <w:start w:val="2"/>
    </w:lvl>
  </w:abstractNum>
  <w:abstractNum w:abstractNumId="27">
    <w:nsid w:val="613EFDC5"/>
    <w:multiLevelType w:val="hybridMultilevel"/>
    <w:lvl w:ilvl="0">
      <w:lvlJc w:val="left"/>
      <w:lvlText w:val="(%1)"/>
      <w:numFmt w:val="lowerLetter"/>
      <w:start w:val="9"/>
    </w:lvl>
  </w:abstractNum>
  <w:abstractNum w:abstractNumId="28">
    <w:nsid w:val="BF72B14"/>
    <w:multiLevelType w:val="hybridMultilevel"/>
    <w:lvl w:ilvl="0">
      <w:lvlJc w:val="left"/>
      <w:lvlText w:val="(%1)"/>
      <w:numFmt w:val="lowerLetter"/>
      <w:start w:val="18"/>
    </w:lvl>
  </w:abstractNum>
  <w:abstractNum w:abstractNumId="29">
    <w:nsid w:val="11447B73"/>
    <w:multiLevelType w:val="hybridMultilevel"/>
    <w:lvl w:ilvl="0">
      <w:lvlJc w:val="left"/>
      <w:lvlText w:val="(%1)"/>
      <w:numFmt w:val="lowerLetter"/>
      <w:start w:val="27"/>
    </w:lvl>
  </w:abstractNum>
  <w:abstractNum w:abstractNumId="30">
    <w:nsid w:val="42963E5A"/>
    <w:multiLevelType w:val="hybridMultilevel"/>
    <w:lvl w:ilvl="0">
      <w:lvlJc w:val="left"/>
      <w:lvlText w:val="(%1)"/>
      <w:numFmt w:val="lowerLetter"/>
      <w:start w:val="1"/>
    </w:lvl>
  </w:abstractNum>
  <w:abstractNum w:abstractNumId="31">
    <w:nsid w:val="A0382C5"/>
    <w:multiLevelType w:val="hybridMultilevel"/>
    <w:lvl w:ilvl="0">
      <w:lvlJc w:val="left"/>
      <w:lvlText w:val="(%1)"/>
      <w:numFmt w:val="lowerRoman"/>
      <w:start w:val="3"/>
    </w:lvl>
  </w:abstractNum>
  <w:abstractNum w:abstractNumId="32">
    <w:nsid w:val="8F2B15E"/>
    <w:multiLevelType w:val="hybridMultilevel"/>
    <w:lvl w:ilvl="0">
      <w:lvlJc w:val="left"/>
      <w:lvlText w:val="(%1)"/>
      <w:numFmt w:val="lowerLetter"/>
      <w:start w:val="8"/>
    </w:lvl>
  </w:abstractNum>
  <w:abstractNum w:abstractNumId="33">
    <w:nsid w:val="1A32234B"/>
    <w:multiLevelType w:val="hybridMultilevel"/>
    <w:lvl w:ilvl="0">
      <w:lvlJc w:val="left"/>
      <w:lvlText w:val="(%1)"/>
      <w:numFmt w:val="lowerLetter"/>
      <w:start w:val="10"/>
    </w:lvl>
  </w:abstractNum>
  <w:abstractNum w:abstractNumId="34">
    <w:nsid w:val="3B0FD379"/>
    <w:multiLevelType w:val="hybridMultilevel"/>
    <w:lvl w:ilvl="0">
      <w:lvlJc w:val="left"/>
      <w:lvlText w:val="(%1)"/>
      <w:numFmt w:val="lowerLetter"/>
      <w:start w:val="1"/>
    </w:lvl>
  </w:abstractNum>
  <w:abstractNum w:abstractNumId="35">
    <w:nsid w:val="68EB2F63"/>
    <w:multiLevelType w:val="hybridMultilevel"/>
    <w:lvl w:ilvl="0">
      <w:lvlJc w:val="left"/>
      <w:lvlText w:val="(%1)"/>
      <w:numFmt w:val="lowerLetter"/>
      <w:start w:val="1"/>
    </w:lvl>
  </w:abstractNum>
  <w:abstractNum w:abstractNumId="36">
    <w:nsid w:val="4962813B"/>
    <w:multiLevelType w:val="hybridMultilevel"/>
    <w:lvl w:ilvl="0">
      <w:lvlJc w:val="left"/>
      <w:lvlText w:val="(%1)"/>
      <w:numFmt w:val="lowerLetter"/>
      <w:start w:val="1"/>
    </w:lvl>
    <w:lvl w:ilvl="1">
      <w:lvlJc w:val="left"/>
      <w:lvlText w:val="(%2)"/>
      <w:numFmt w:val="lowerRoman"/>
      <w:start w:val="1"/>
    </w:lvl>
  </w:abstractNum>
  <w:abstractNum w:abstractNumId="37">
    <w:nsid w:val="60B6DF70"/>
    <w:multiLevelType w:val="hybridMultilevel"/>
    <w:lvl w:ilvl="0">
      <w:lvlJc w:val="left"/>
      <w:lvlText w:val="%1"/>
      <w:numFmt w:val="upperLetter"/>
      <w:start w:val="1"/>
    </w:lvl>
    <w:lvl w:ilvl="1">
      <w:lvlJc w:val="left"/>
      <w:lvlText w:val="(%2)"/>
      <w:numFmt w:val="lowerLetter"/>
      <w:start w:val="2"/>
    </w:lvl>
    <w:lvl w:ilvl="2">
      <w:lvlJc w:val="left"/>
      <w:lvlText w:val="(%3)"/>
      <w:numFmt w:val="lowerRoman"/>
      <w:start w:val="1"/>
    </w:lvl>
  </w:abstractNum>
  <w:abstractNum w:abstractNumId="38">
    <w:nsid w:val="6A5EE64"/>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1"/>
    </w:lvl>
  </w:abstractNum>
  <w:abstractNum w:abstractNumId="39">
    <w:nsid w:val="14330624"/>
    <w:multiLevelType w:val="hybridMultilevel"/>
    <w:lvl w:ilvl="0">
      <w:lvlJc w:val="left"/>
      <w:lvlText w:val="(%1)"/>
      <w:numFmt w:val="lowerRoman"/>
      <w:start w:val="2"/>
    </w:lvl>
    <w:lvl w:ilvl="1">
      <w:lvlJc w:val="left"/>
      <w:lvlText w:val="(%2)"/>
      <w:numFmt w:val="upperLetter"/>
      <w:start w:val="1"/>
    </w:lvl>
  </w:abstractNum>
  <w:abstractNum w:abstractNumId="40">
    <w:nsid w:val="7FFFCA11"/>
    <w:multiLevelType w:val="hybridMultilevel"/>
    <w:lvl w:ilvl="0">
      <w:lvlJc w:val="left"/>
      <w:lvlText w:val="%1"/>
      <w:numFmt w:val="lowerRoman"/>
      <w:start w:val="1"/>
    </w:lvl>
    <w:lvl w:ilvl="1">
      <w:lvlJc w:val="left"/>
      <w:lvlText w:val="(%2)"/>
      <w:numFmt w:val="upperLetter"/>
      <w:start w:val="2"/>
    </w:lvl>
  </w:abstractNum>
  <w:abstractNum w:abstractNumId="41">
    <w:nsid w:val="1A27709E"/>
    <w:multiLevelType w:val="hybridMultilevel"/>
    <w:lvl w:ilvl="0">
      <w:lvlJc w:val="left"/>
      <w:lvlText w:val="(%1)"/>
      <w:numFmt w:val="lowerRoman"/>
      <w:start w:val="3"/>
    </w:lvl>
    <w:lvl w:ilvl="1">
      <w:lvlJc w:val="left"/>
      <w:lvlText w:val="(%2)"/>
      <w:numFmt w:val="upperLetter"/>
      <w:start w:val="1"/>
    </w:lvl>
  </w:abstractNum>
  <w:abstractNum w:abstractNumId="42">
    <w:nsid w:val="71EA1109"/>
    <w:multiLevelType w:val="hybridMultilevel"/>
    <w:lvl w:ilvl="0">
      <w:lvlJc w:val="left"/>
      <w:lvlText w:val="%1"/>
      <w:numFmt w:val="lowerLetter"/>
      <w:start w:val="1"/>
    </w:lvl>
    <w:lvl w:ilvl="1">
      <w:lvlJc w:val="left"/>
      <w:lvlText w:val="(%2)"/>
      <w:numFmt w:val="lowerLetter"/>
      <w:start w:val="22"/>
    </w:lvl>
  </w:abstractNum>
  <w:abstractNum w:abstractNumId="43">
    <w:nsid w:val="100F59DC"/>
    <w:multiLevelType w:val="hybridMultilevel"/>
    <w:lvl w:ilvl="0">
      <w:lvlJc w:val="left"/>
      <w:lvlText w:val="(%1)"/>
      <w:numFmt w:val="lowerLetter"/>
      <w:start w:val="4"/>
    </w:lvl>
    <w:lvl w:ilvl="1">
      <w:lvlJc w:val="left"/>
      <w:lvlText w:val="%2"/>
      <w:numFmt w:val="lowerLetter"/>
      <w:start w:val="1"/>
    </w:lvl>
  </w:abstractNum>
  <w:abstractNum w:abstractNumId="44">
    <w:nsid w:val="7FB7E0AA"/>
    <w:multiLevelType w:val="hybridMultilevel"/>
    <w:lvl w:ilvl="0">
      <w:lvlJc w:val="left"/>
      <w:lvlText w:val="(%1)"/>
      <w:numFmt w:val="lowerLetter"/>
      <w:start w:val="9"/>
    </w:lvl>
  </w:abstractNum>
  <w:abstractNum w:abstractNumId="45">
    <w:nsid w:val="6EB5BD4"/>
    <w:multiLevelType w:val="hybridMultilevel"/>
    <w:lvl w:ilvl="0">
      <w:lvlJc w:val="left"/>
      <w:lvlText w:val="(%1)"/>
      <w:numFmt w:val="lowerLetter"/>
      <w:start w:val="1"/>
    </w:lvl>
  </w:abstractNum>
  <w:abstractNum w:abstractNumId="46">
    <w:nsid w:val="6F6DD9AC"/>
    <w:multiLevelType w:val="hybridMultilevel"/>
    <w:lvl w:ilvl="0">
      <w:lvlJc w:val="left"/>
      <w:lvlText w:val="(%1)"/>
      <w:numFmt w:val="lowerLetter"/>
      <w:start w:val="2"/>
    </w:lvl>
  </w:abstractNum>
  <w:abstractNum w:abstractNumId="47">
    <w:nsid w:val="94211F2"/>
    <w:multiLevelType w:val="hybridMultilevel"/>
    <w:lvl w:ilvl="0">
      <w:lvlJc w:val="left"/>
      <w:lvlText w:val="(%1)"/>
      <w:numFmt w:val="lowerLetter"/>
      <w:start w:val="1"/>
    </w:lvl>
    <w:lvl w:ilvl="1">
      <w:lvlJc w:val="left"/>
      <w:lvlText w:val="(%2)"/>
      <w:numFmt w:val="lowerLetter"/>
      <w:start w:val="9"/>
    </w:lvl>
  </w:abstractNum>
  <w:abstractNum w:abstractNumId="48">
    <w:nsid w:val="885E1B"/>
    <w:multiLevelType w:val="hybridMultilevel"/>
    <w:lvl w:ilvl="0">
      <w:lvlJc w:val="left"/>
      <w:lvlText w:val="%1"/>
      <w:numFmt w:val="lowerLetter"/>
      <w:start w:val="1"/>
    </w:lvl>
    <w:lvl w:ilvl="1">
      <w:lvlJc w:val="left"/>
      <w:lvlText w:val="(%2)"/>
      <w:numFmt w:val="lowerLetter"/>
      <w:start w:val="35"/>
    </w:lvl>
  </w:abstractNum>
  <w:abstractNum w:abstractNumId="49">
    <w:nsid w:val="76272110"/>
    <w:multiLevelType w:val="hybridMultilevel"/>
    <w:lvl w:ilvl="0">
      <w:lvlJc w:val="left"/>
      <w:lvlText w:val="(%1)"/>
      <w:numFmt w:val="lowerLetter"/>
      <w:start w:val="3"/>
    </w:lvl>
    <w:lvl w:ilvl="1">
      <w:lvlJc w:val="left"/>
      <w:lvlText w:val="%2"/>
      <w:numFmt w:val="lowerLetter"/>
      <w:start w:val="1"/>
    </w:lvl>
  </w:abstractNum>
  <w:abstractNum w:abstractNumId="50">
    <w:nsid w:val="4C04A8AF"/>
    <w:multiLevelType w:val="hybridMultilevel"/>
    <w:lvl w:ilvl="0">
      <w:lvlJc w:val="left"/>
      <w:lvlText w:val="(%1)"/>
      <w:numFmt w:val="lowerLetter"/>
      <w:start w:val="1"/>
    </w:lvl>
  </w:abstractNum>
  <w:abstractNum w:abstractNumId="51">
    <w:nsid w:val="1716703B"/>
    <w:multiLevelType w:val="hybridMultilevel"/>
    <w:lvl w:ilvl="0">
      <w:lvlJc w:val="left"/>
      <w:lvlText w:val="(%1)"/>
      <w:numFmt w:val="lowerLetter"/>
      <w:start w:val="1"/>
    </w:lvl>
  </w:abstractNum>
  <w:abstractNum w:abstractNumId="52">
    <w:nsid w:val="14E17E33"/>
    <w:multiLevelType w:val="hybridMultilevel"/>
    <w:lvl w:ilvl="0">
      <w:lvlJc w:val="left"/>
      <w:lvlText w:val="(%1)"/>
      <w:numFmt w:val="lowerLetter"/>
      <w:start w:val="1"/>
    </w:lvl>
    <w:lvl w:ilvl="1">
      <w:lvlJc w:val="left"/>
      <w:lvlText w:val="(%2)"/>
      <w:numFmt w:val="lowerRoman"/>
      <w:start w:val="1"/>
    </w:lvl>
  </w:abstractNum>
  <w:abstractNum w:abstractNumId="53">
    <w:nsid w:val="3222E7CD"/>
    <w:multiLevelType w:val="hybridMultilevel"/>
    <w:lvl w:ilvl="0">
      <w:lvlJc w:val="left"/>
      <w:lvlText w:val="(%1)"/>
      <w:numFmt w:val="lowerLetter"/>
      <w:start w:val="1"/>
    </w:lvl>
  </w:abstractNum>
  <w:abstractNum w:abstractNumId="54">
    <w:nsid w:val="74DE0EE3"/>
    <w:multiLevelType w:val="hybridMultilevel"/>
    <w:lvl w:ilvl="0">
      <w:lvlJc w:val="left"/>
      <w:lvlText w:val="(%1)"/>
      <w:numFmt w:val="lowerLetter"/>
      <w:start w:val="1"/>
    </w:lvl>
  </w:abstractNum>
  <w:abstractNum w:abstractNumId="55">
    <w:nsid w:val="68EBC550"/>
    <w:multiLevelType w:val="hybridMultilevel"/>
    <w:lvl w:ilvl="0">
      <w:lvlJc w:val="left"/>
      <w:lvlText w:val="(%1)"/>
      <w:numFmt w:val="lowerLetter"/>
      <w:start w:val="2"/>
    </w:lvl>
  </w:abstractNum>
  <w:abstractNum w:abstractNumId="56">
    <w:nsid w:val="2DF6D648"/>
    <w:multiLevelType w:val="hybridMultilevel"/>
    <w:lvl w:ilvl="0">
      <w:lvlJc w:val="left"/>
      <w:lvlText w:val="(%1)"/>
      <w:numFmt w:val="lowerLetter"/>
      <w:start w:val="1"/>
    </w:lvl>
  </w:abstractNum>
  <w:abstractNum w:abstractNumId="57">
    <w:nsid w:val="46B7D447"/>
    <w:multiLevelType w:val="hybridMultilevel"/>
    <w:lvl w:ilvl="0">
      <w:lvlJc w:val="left"/>
      <w:lvlText w:val="(%1)"/>
      <w:numFmt w:val="lowerLetter"/>
      <w:start w:val="1"/>
    </w:lvl>
  </w:abstractNum>
  <w:abstractNum w:abstractNumId="58">
    <w:nsid w:val="4A2AC315"/>
    <w:multiLevelType w:val="hybridMultilevel"/>
    <w:lvl w:ilvl="0">
      <w:lvlJc w:val="left"/>
      <w:lvlText w:val="(%1)"/>
      <w:numFmt w:val="lowerLetter"/>
      <w:start w:val="3"/>
    </w:lvl>
    <w:lvl w:ilvl="1">
      <w:lvlJc w:val="left"/>
      <w:lvlText w:val="(%2)"/>
      <w:numFmt w:val="lowerRoman"/>
      <w:start w:val="1"/>
    </w:lvl>
  </w:abstractNum>
  <w:abstractNum w:abstractNumId="59">
    <w:nsid w:val="39EE015C"/>
    <w:multiLevelType w:val="hybridMultilevel"/>
    <w:lvl w:ilvl="0">
      <w:lvlJc w:val="left"/>
      <w:lvlText w:val="(%1)"/>
      <w:numFmt w:val="lowerLetter"/>
      <w:start w:val="1"/>
    </w:lvl>
  </w:abstractNum>
  <w:abstractNum w:abstractNumId="60">
    <w:nsid w:val="57FC4FBB"/>
    <w:multiLevelType w:val="hybridMultilevel"/>
    <w:lvl w:ilvl="0">
      <w:lvlJc w:val="left"/>
      <w:lvlText w:val="(%1)"/>
      <w:numFmt w:val="lowerLetter"/>
      <w:start w:val="35"/>
    </w:lvl>
    <w:lvl w:ilvl="1">
      <w:lvlJc w:val="left"/>
      <w:lvlText w:val="(%2)"/>
      <w:numFmt w:val="lowerLetter"/>
      <w:start w:val="2"/>
    </w:lvl>
  </w:abstractNum>
  <w:abstractNum w:abstractNumId="61">
    <w:nsid w:val="CC1016F"/>
    <w:multiLevelType w:val="hybridMultilevel"/>
    <w:lvl w:ilvl="0">
      <w:lvlJc w:val="left"/>
      <w:lvlText w:val="(%1)"/>
      <w:numFmt w:val="lowerLetter"/>
      <w:start w:val="1"/>
    </w:lvl>
  </w:abstractNum>
  <w:abstractNum w:abstractNumId="62">
    <w:nsid w:val="43F18422"/>
    <w:multiLevelType w:val="hybridMultilevel"/>
    <w:lvl w:ilvl="0">
      <w:lvlJc w:val="left"/>
      <w:lvlText w:val="(%1)"/>
      <w:numFmt w:val="lowerLetter"/>
      <w:start w:val="5"/>
    </w:lvl>
  </w:abstractNum>
  <w:abstractNum w:abstractNumId="63">
    <w:nsid w:val="60EF0119"/>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64">
    <w:nsid w:val="26F324BA"/>
    <w:multiLevelType w:val="hybridMultilevel"/>
    <w:lvl w:ilvl="0">
      <w:lvlJc w:val="left"/>
      <w:lvlText w:val="%1"/>
      <w:numFmt w:val="lowerLetter"/>
      <w:start w:val="1"/>
    </w:lvl>
    <w:lvl w:ilvl="1">
      <w:lvlJc w:val="left"/>
      <w:lvlText w:val="%2"/>
      <w:numFmt w:val="lowerLetter"/>
      <w:start w:val="1"/>
    </w:lvl>
    <w:lvl w:ilvl="2">
      <w:lvlJc w:val="left"/>
      <w:lvlText w:val="(%3)"/>
      <w:numFmt w:val="upperLetter"/>
      <w:start w:val="3"/>
    </w:lvl>
  </w:abstractNum>
  <w:abstractNum w:abstractNumId="65">
    <w:nsid w:val="7F01579B"/>
    <w:multiLevelType w:val="hybridMultilevel"/>
    <w:lvl w:ilvl="0">
      <w:lvlJc w:val="left"/>
      <w:lvlText w:val="%1"/>
      <w:numFmt w:val="lowerLetter"/>
      <w:start w:val="1"/>
    </w:lvl>
    <w:lvl w:ilvl="1">
      <w:lvlJc w:val="left"/>
      <w:lvlText w:val="(%2)"/>
      <w:numFmt w:val="lowerLetter"/>
      <w:start w:val="35"/>
    </w:lvl>
    <w:lvl w:ilvl="2">
      <w:lvlJc w:val="left"/>
      <w:lvlText w:val="%3"/>
      <w:numFmt w:val="upperLetter"/>
      <w:start w:val="1"/>
    </w:lvl>
  </w:abstractNum>
  <w:abstractNum w:abstractNumId="66">
    <w:nsid w:val="49DA307D"/>
    <w:multiLevelType w:val="hybridMultilevel"/>
    <w:lvl w:ilvl="0">
      <w:lvlJc w:val="left"/>
      <w:lvlText w:val="(%1)"/>
      <w:numFmt w:val="lowerLetter"/>
      <w:start w:val="3"/>
    </w:lvl>
    <w:lvl w:ilvl="1">
      <w:lvlJc w:val="left"/>
      <w:lvlText w:val="%2"/>
      <w:numFmt w:val="lowerLetter"/>
      <w:start w:val="1"/>
    </w:lvl>
    <w:lvl w:ilvl="2">
      <w:lvlJc w:val="left"/>
      <w:lvlText w:val="%3"/>
      <w:numFmt w:val="upperLetter"/>
      <w:start w:val="1"/>
    </w:lvl>
  </w:abstractNum>
  <w:abstractNum w:abstractNumId="67">
    <w:nsid w:val="7055A5F5"/>
    <w:multiLevelType w:val="hybridMultilevel"/>
    <w:lvl w:ilvl="0">
      <w:lvlJc w:val="left"/>
      <w:lvlText w:val="(%1)"/>
      <w:numFmt w:val="lowerLetter"/>
      <w:start w:val="1"/>
    </w:lvl>
  </w:abstractNum>
  <w:abstractNum w:abstractNumId="68">
    <w:nsid w:val="5FB8370B"/>
    <w:multiLevelType w:val="hybridMultilevel"/>
    <w:lvl w:ilvl="0">
      <w:lvlJc w:val="left"/>
      <w:lvlText w:val="(%1)"/>
      <w:numFmt w:val="lowerLetter"/>
      <w:start w:val="1"/>
    </w:lvl>
  </w:abstractNum>
  <w:abstractNum w:abstractNumId="69">
    <w:nsid w:val="50801EE1"/>
    <w:multiLevelType w:val="hybridMultilevel"/>
    <w:lvl w:ilvl="0">
      <w:lvlJc w:val="left"/>
      <w:lvlText w:val="(%1)"/>
      <w:numFmt w:val="lowerLetter"/>
      <w:start w:val="1"/>
    </w:lvl>
  </w:abstractNum>
  <w:abstractNum w:abstractNumId="70">
    <w:nsid w:val="488AC1A"/>
    <w:multiLevelType w:val="hybridMultilevel"/>
    <w:lvl w:ilvl="0">
      <w:lvlJc w:val="left"/>
      <w:lvlText w:val="(%1)"/>
      <w:numFmt w:val="lowerLetter"/>
      <w:start w:val="4"/>
    </w:lvl>
  </w:abstractNum>
  <w:abstractNum w:abstractNumId="71">
    <w:nsid w:val="5FB8011C"/>
    <w:multiLevelType w:val="hybridMultilevel"/>
    <w:lvl w:ilvl="0">
      <w:lvlJc w:val="left"/>
      <w:lvlText w:val="(%1)"/>
      <w:numFmt w:val="lowerLetter"/>
      <w:start w:val="1"/>
    </w:lvl>
  </w:abstractNum>
  <w:abstractNum w:abstractNumId="72">
    <w:nsid w:val="6AA78F7F"/>
    <w:multiLevelType w:val="hybridMultilevel"/>
    <w:lvl w:ilvl="0">
      <w:lvlJc w:val="left"/>
      <w:lvlText w:val="(%1)"/>
      <w:numFmt w:val="lowerLetter"/>
      <w:start w:val="3"/>
    </w:lvl>
  </w:abstractNum>
  <w:abstractNum w:abstractNumId="73">
    <w:nsid w:val="7672BD23"/>
    <w:multiLevelType w:val="hybridMultilevel"/>
    <w:lvl w:ilvl="0">
      <w:lvlJc w:val="left"/>
      <w:lvlText w:val="(%1)"/>
      <w:numFmt w:val="lowerLetter"/>
      <w:start w:val="1"/>
    </w:lvl>
  </w:abstractNum>
  <w:abstractNum w:abstractNumId="74">
    <w:nsid w:val="6FC75AF8"/>
    <w:multiLevelType w:val="hybridMultilevel"/>
    <w:lvl w:ilvl="0">
      <w:lvlJc w:val="left"/>
      <w:lvlText w:val="(%1)"/>
      <w:numFmt w:val="lowerLetter"/>
      <w:start w:val="3"/>
    </w:lvl>
  </w:abstractNum>
  <w:abstractNum w:abstractNumId="75">
    <w:nsid w:val="6A5F7029"/>
    <w:multiLevelType w:val="hybridMultilevel"/>
    <w:lvl w:ilvl="0">
      <w:lvlJc w:val="left"/>
      <w:lvlText w:val="(%1)"/>
      <w:numFmt w:val="lowerLetter"/>
      <w:start w:val="1"/>
    </w:lvl>
  </w:abstractNum>
  <w:abstractNum w:abstractNumId="76">
    <w:nsid w:val="7D5E18F8"/>
    <w:multiLevelType w:val="hybridMultilevel"/>
    <w:lvl w:ilvl="0">
      <w:lvlJc w:val="left"/>
      <w:lvlText w:val="(%1)"/>
      <w:numFmt w:val="lowerLetter"/>
      <w:start w:val="2"/>
    </w:lvl>
  </w:abstractNum>
  <w:abstractNum w:abstractNumId="77">
    <w:nsid w:val="5F3534A4"/>
    <w:multiLevelType w:val="hybridMultilevel"/>
    <w:lvl w:ilvl="0">
      <w:lvlJc w:val="left"/>
      <w:lvlText w:val="(%1)"/>
      <w:numFmt w:val="lowerLetter"/>
      <w:start w:val="1"/>
    </w:lvl>
  </w:abstractNum>
  <w:abstractNum w:abstractNumId="78">
    <w:nsid w:val="73A1821B"/>
    <w:multiLevelType w:val="hybridMultilevel"/>
    <w:lvl w:ilvl="0">
      <w:lvlJc w:val="left"/>
      <w:lvlText w:val="(%1)"/>
      <w:numFmt w:val="lowerLetter"/>
      <w:start w:val="2"/>
    </w:lvl>
  </w:abstractNum>
  <w:abstractNum w:abstractNumId="79">
    <w:nsid w:val="7DE67713"/>
    <w:multiLevelType w:val="hybridMultilevel"/>
    <w:lvl w:ilvl="0">
      <w:lvlJc w:val="left"/>
      <w:lvlText w:val="(%1)"/>
      <w:numFmt w:val="lowerLetter"/>
      <w:start w:val="8"/>
    </w:lvl>
  </w:abstractNum>
  <w:abstractNum w:abstractNumId="80">
    <w:nsid w:val="555C55B5"/>
    <w:multiLevelType w:val="hybridMultilevel"/>
    <w:lvl w:ilvl="0">
      <w:lvlJc w:val="left"/>
      <w:lvlText w:val="(%1)"/>
      <w:numFmt w:val="lowerLetter"/>
      <w:start w:val="1"/>
    </w:lvl>
  </w:abstractNum>
  <w:abstractNum w:abstractNumId="81">
    <w:nsid w:val="3FA62ACA"/>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abstractNum>
  <w:abstractNum w:abstractNumId="82">
    <w:nsid w:val="14FCE74E"/>
    <w:multiLevelType w:val="hybridMultilevel"/>
    <w:lvl w:ilvl="0">
      <w:lvlJc w:val="left"/>
      <w:lvlText w:val="(%1)"/>
      <w:numFmt w:val="lowerLetter"/>
      <w:start w:val="4"/>
    </w:lvl>
  </w:abstractNum>
  <w:abstractNum w:abstractNumId="83">
    <w:nsid w:val="6A3DD3E8"/>
    <w:multiLevelType w:val="hybridMultilevel"/>
    <w:lvl w:ilvl="0">
      <w:lvlJc w:val="left"/>
      <w:lvlText w:val="(%1)"/>
      <w:numFmt w:val="lowerLetter"/>
      <w:start w:val="1"/>
    </w:lvl>
  </w:abstractNum>
  <w:abstractNum w:abstractNumId="84">
    <w:nsid w:val="71C91298"/>
    <w:multiLevelType w:val="hybridMultilevel"/>
    <w:lvl w:ilvl="0">
      <w:lvlJc w:val="left"/>
      <w:lvlText w:val="(%1)"/>
      <w:numFmt w:val="decimal"/>
      <w:start w:val="1"/>
    </w:lvl>
  </w:abstractNum>
  <w:abstractNum w:abstractNumId="85">
    <w:nsid w:val="9DAF632"/>
    <w:multiLevelType w:val="hybridMultilevel"/>
    <w:lvl w:ilvl="0">
      <w:lvlJc w:val="left"/>
      <w:lvlText w:val="(%1)"/>
      <w:numFmt w:val="lowerLetter"/>
      <w:start w:val="1"/>
    </w:lvl>
  </w:abstractNum>
  <w:abstractNum w:abstractNumId="86">
    <w:nsid w:val="53299938"/>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87">
    <w:nsid w:val="1FBFE8E0"/>
    <w:multiLevelType w:val="hybridMultilevel"/>
    <w:lvl w:ilvl="0">
      <w:lvlJc w:val="left"/>
      <w:lvlText w:val="(%1)"/>
      <w:numFmt w:val="lowerLetter"/>
      <w:start w:val="3"/>
    </w:lvl>
  </w:abstractNum>
  <w:abstractNum w:abstractNumId="88">
    <w:nsid w:val="5092CA79"/>
    <w:multiLevelType w:val="hybridMultilevel"/>
    <w:lvl w:ilvl="0">
      <w:lvlJc w:val="left"/>
      <w:lvlText w:val="(%1)"/>
      <w:numFmt w:val="lowerRoman"/>
      <w:start w:val="10"/>
    </w:lvl>
  </w:abstractNum>
  <w:abstractNum w:abstractNumId="89">
    <w:nsid w:val="1D545C4D"/>
    <w:multiLevelType w:val="hybridMultilevel"/>
    <w:lvl w:ilvl="0">
      <w:lvlJc w:val="left"/>
      <w:lvlText w:val="(%1)"/>
      <w:numFmt w:val="lowerLetter"/>
      <w:start w:val="1"/>
    </w:lvl>
  </w:abstractNum>
  <w:abstractNum w:abstractNumId="90">
    <w:nsid w:val="59ADEA3D"/>
    <w:multiLevelType w:val="hybridMultilevel"/>
    <w:lvl w:ilvl="0">
      <w:lvlJc w:val="left"/>
      <w:lvlText w:val="(%1)"/>
      <w:numFmt w:val="lowerLetter"/>
      <w:start w:val="1"/>
    </w:lvl>
  </w:abstractNum>
  <w:abstractNum w:abstractNumId="91">
    <w:nsid w:val="288F1A34"/>
    <w:multiLevelType w:val="hybridMultilevel"/>
    <w:lvl w:ilvl="0">
      <w:lvlJc w:val="left"/>
      <w:lvlText w:val="(%1)"/>
      <w:numFmt w:val="lowerLetter"/>
      <w:start w:val="1"/>
    </w:lvl>
  </w:abstractNum>
  <w:abstractNum w:abstractNumId="92">
    <w:nsid w:val="2A155DBC"/>
    <w:multiLevelType w:val="hybridMultilevel"/>
    <w:lvl w:ilvl="0">
      <w:lvlJc w:val="left"/>
      <w:lvlText w:val="(%1)"/>
      <w:numFmt w:val="lowerLetter"/>
      <w:start w:val="8"/>
    </w:lvl>
  </w:abstractNum>
  <w:abstractNum w:abstractNumId="93">
    <w:nsid w:val="1D9F6E5F"/>
    <w:multiLevelType w:val="hybridMultilevel"/>
    <w:lvl w:ilvl="0">
      <w:lvlJc w:val="left"/>
      <w:lvlText w:val="(%1)"/>
      <w:numFmt w:val="lowerLetter"/>
      <w:start w:val="1"/>
    </w:lvl>
    <w:lvl w:ilvl="1">
      <w:lvlJc w:val="left"/>
      <w:lvlText w:val="(%2)"/>
      <w:numFmt w:val="lowerRoman"/>
      <w:start w:val="1"/>
    </w:lvl>
  </w:abstractNum>
  <w:abstractNum w:abstractNumId="94">
    <w:nsid w:val="97E1B4E"/>
    <w:multiLevelType w:val="hybridMultilevel"/>
    <w:lvl w:ilvl="0">
      <w:lvlJc w:val="left"/>
      <w:lvlText w:val="(%1)"/>
      <w:numFmt w:val="lowerLetter"/>
      <w:start w:val="3"/>
    </w:lvl>
  </w:abstractNum>
  <w:abstractNum w:abstractNumId="95">
    <w:nsid w:val="51088277"/>
    <w:multiLevelType w:val="hybridMultilevel"/>
    <w:lvl w:ilvl="0">
      <w:lvlJc w:val="left"/>
      <w:lvlText w:val="(%1)"/>
      <w:numFmt w:val="lowerLetter"/>
      <w:start w:val="1"/>
    </w:lvl>
  </w:abstractNum>
  <w:abstractNum w:abstractNumId="96">
    <w:nsid w:val="1CA0C5FA"/>
    <w:multiLevelType w:val="hybridMultilevel"/>
    <w:lvl w:ilvl="0">
      <w:lvlJc w:val="left"/>
      <w:lvlText w:val="(%1)"/>
      <w:numFmt w:val="lowerLetter"/>
      <w:start w:val="3"/>
    </w:lvl>
  </w:abstractNum>
  <w:abstractNum w:abstractNumId="97">
    <w:nsid w:val="53584BCB"/>
    <w:multiLevelType w:val="hybridMultilevel"/>
    <w:lvl w:ilvl="0">
      <w:lvlJc w:val="left"/>
      <w:lvlText w:val="(%1)"/>
      <w:numFmt w:val="lowerLetter"/>
      <w:start w:val="1"/>
    </w:lvl>
  </w:abstractNum>
  <w:abstractNum w:abstractNumId="98">
    <w:nsid w:val="415E286C"/>
    <w:multiLevelType w:val="hybridMultilevel"/>
    <w:lvl w:ilvl="0">
      <w:lvlJc w:val="left"/>
      <w:lvlText w:val="(%1)"/>
      <w:numFmt w:val="lowerLetter"/>
      <w:start w:val="1"/>
    </w:lvl>
  </w:abstractNum>
  <w:abstractNum w:abstractNumId="99">
    <w:nsid w:val="7C58FD05"/>
    <w:multiLevelType w:val="hybridMultilevel"/>
    <w:lvl w:ilvl="0">
      <w:lvlJc w:val="left"/>
      <w:lvlText w:val="(%1)"/>
      <w:numFmt w:val="lowerLetter"/>
      <w:start w:val="2"/>
    </w:lvl>
  </w:abstractNum>
  <w:abstractNum w:abstractNumId="100">
    <w:nsid w:val="23D86AAC"/>
    <w:multiLevelType w:val="hybridMultilevel"/>
    <w:lvl w:ilvl="0">
      <w:lvlJc w:val="left"/>
      <w:lvlText w:val="(%1)"/>
      <w:numFmt w:val="lowerLetter"/>
      <w:start w:val="1"/>
    </w:lvl>
  </w:abstractNum>
  <w:abstractNum w:abstractNumId="101">
    <w:nsid w:val="45E6D486"/>
    <w:multiLevelType w:val="hybridMultilevel"/>
    <w:lvl w:ilvl="0">
      <w:lvlJc w:val="left"/>
      <w:lvlText w:val="(%1)"/>
      <w:numFmt w:val="lowerLetter"/>
      <w:start w:val="1"/>
    </w:lvl>
  </w:abstractNum>
  <w:abstractNum w:abstractNumId="102">
    <w:nsid w:val="5C10FE21"/>
    <w:multiLevelType w:val="hybridMultilevel"/>
    <w:lvl w:ilvl="0">
      <w:lvlJc w:val="left"/>
      <w:lvlText w:val="(%1)"/>
      <w:numFmt w:val="lowerLetter"/>
      <w:start w:val="1"/>
    </w:lvl>
  </w:abstractNum>
  <w:abstractNum w:abstractNumId="103">
    <w:nsid w:val="E7FFA2B"/>
    <w:multiLevelType w:val="hybridMultilevel"/>
    <w:lvl w:ilvl="0">
      <w:lvlJc w:val="left"/>
      <w:lvlText w:val="(%1)"/>
      <w:numFmt w:val="lowerLetter"/>
      <w:start w:val="2"/>
    </w:lvl>
  </w:abstractNum>
  <w:abstractNum w:abstractNumId="104">
    <w:nsid w:val="3C5991AA"/>
    <w:multiLevelType w:val="hybridMultilevel"/>
    <w:lvl w:ilvl="0">
      <w:lvlJc w:val="left"/>
      <w:lvlText w:val="(%1)"/>
      <w:numFmt w:val="lowerRoman"/>
      <w:start w:val="3"/>
    </w:lvl>
  </w:abstractNum>
  <w:abstractNum w:abstractNumId="105">
    <w:nsid w:val="4BD8591A"/>
    <w:multiLevelType w:val="hybridMultilevel"/>
    <w:lvl w:ilvl="0">
      <w:lvlJc w:val="left"/>
      <w:lvlText w:val="(%1)"/>
      <w:numFmt w:val="lowerRoman"/>
      <w:start w:val="1"/>
    </w:lvl>
  </w:abstractNum>
  <w:abstractNum w:abstractNumId="106">
    <w:nsid w:val="78DF6A55"/>
    <w:multiLevelType w:val="hybridMultilevel"/>
    <w:lvl w:ilvl="0">
      <w:lvlJc w:val="left"/>
      <w:lvlText w:val="%1."/>
      <w:numFmt w:val="decimal"/>
      <w:start w:val="1"/>
    </w:lvl>
  </w:abstractNum>
  <w:abstractNum w:abstractNumId="107">
    <w:nsid w:val="39B7AAA2"/>
    <w:multiLevelType w:val="hybridMultilevel"/>
    <w:lvl w:ilvl="0">
      <w:lvlJc w:val="left"/>
      <w:lvlText w:val="(%1)"/>
      <w:numFmt w:val="lowerRoman"/>
      <w:start w:val="3"/>
    </w:lvl>
  </w:abstractNum>
  <w:abstractNum w:abstractNumId="108">
    <w:nsid w:val="2B0D8DBE"/>
    <w:multiLevelType w:val="hybridMultilevel"/>
    <w:lvl w:ilvl="0">
      <w:lvlJc w:val="left"/>
      <w:lvlText w:val="(%1)"/>
      <w:numFmt w:val="lowerLetter"/>
      <w:start w:val="1"/>
    </w:lvl>
  </w:abstractNum>
  <w:abstractNum w:abstractNumId="109">
    <w:nsid w:val="6C80EC70"/>
    <w:multiLevelType w:val="hybridMultilevel"/>
    <w:lvl w:ilvl="0">
      <w:lvlJc w:val="left"/>
      <w:lvlText w:val="(%1)"/>
      <w:numFmt w:val="lowerLetter"/>
      <w:start w:val="9"/>
    </w:lvl>
  </w:abstractNum>
  <w:abstractNum w:abstractNumId="110">
    <w:nsid w:val="379E21B5"/>
    <w:multiLevelType w:val="hybridMultilevel"/>
    <w:lvl w:ilvl="0">
      <w:lvlJc w:val="left"/>
      <w:lvlText w:val="(%1)"/>
      <w:numFmt w:val="lowerLetter"/>
      <w:start w:val="1"/>
    </w:lvl>
  </w:abstractNum>
  <w:abstractNum w:abstractNumId="111">
    <w:nsid w:val="69E373"/>
    <w:multiLevelType w:val="hybridMultilevel"/>
    <w:lvl w:ilvl="0">
      <w:lvlJc w:val="left"/>
      <w:lvlText w:val="%1."/>
      <w:numFmt w:val="decimal"/>
      <w:start w:val="1"/>
    </w:lvl>
  </w:abstractNum>
  <w:abstractNum w:abstractNumId="112">
    <w:nsid w:val="2C27173B"/>
    <w:multiLevelType w:val="hybridMultilevel"/>
    <w:lvl w:ilvl="0">
      <w:lvlJc w:val="left"/>
      <w:lvlText w:val="(%1)"/>
      <w:numFmt w:val="lowerLetter"/>
      <w:start w:val="1"/>
    </w:lvl>
  </w:abstractNum>
  <w:abstractNum w:abstractNumId="113">
    <w:nsid w:val="4C9B0904"/>
    <w:multiLevelType w:val="hybridMultilevel"/>
    <w:lvl w:ilvl="0">
      <w:lvlJc w:val="left"/>
      <w:lvlText w:val="(%1)"/>
      <w:numFmt w:val="lowerLetter"/>
      <w:start w:val="8"/>
    </w:lvl>
  </w:abstractNum>
  <w:abstractNum w:abstractNumId="114">
    <w:nsid w:val="6AA7B75C"/>
    <w:multiLevelType w:val="hybridMultilevel"/>
    <w:lvl w:ilvl="0">
      <w:lvlJc w:val="left"/>
      <w:lvlText w:val="(%1)"/>
      <w:numFmt w:val="lowerLetter"/>
      <w:start w:val="1"/>
    </w:lvl>
  </w:abstractNum>
  <w:abstractNum w:abstractNumId="115">
    <w:nsid w:val="1DF029D3"/>
    <w:multiLevelType w:val="hybridMultilevel"/>
    <w:lvl w:ilvl="0">
      <w:lvlJc w:val="left"/>
      <w:lvlText w:val="☐"/>
      <w:numFmt w:val="bullet"/>
      <w:start w:val="1"/>
    </w:lvl>
  </w:abstractNum>
  <w:abstractNum w:abstractNumId="116">
    <w:nsid w:val="5675FF36"/>
    <w:multiLevelType w:val="hybridMultilevel"/>
    <w:lvl w:ilvl="0">
      <w:lvlJc w:val="left"/>
      <w:lvlText w:val="%1."/>
      <w:numFmt w:val="decimal"/>
      <w:start w:val="1"/>
    </w:lvl>
    <w:lvl w:ilvl="1">
      <w:lvlJc w:val="left"/>
      <w:lvlText w:val="(%2)"/>
      <w:numFmt w:val="lowerLetter"/>
      <w:start w:val="1"/>
    </w:lvl>
  </w:abstractNum>
  <w:abstractNum w:abstractNumId="117">
    <w:nsid w:val="3DD15094"/>
    <w:multiLevelType w:val="hybridMultilevel"/>
    <w:lvl w:ilvl="0">
      <w:lvlJc w:val="left"/>
      <w:lvlText w:val="(%1)"/>
      <w:numFmt w:val="lowerLetter"/>
      <w:start w:val="2"/>
    </w:lvl>
  </w:abstractNum>
  <w:abstractNum w:abstractNumId="118">
    <w:nsid w:val="3DB012B3"/>
    <w:multiLevelType w:val="hybridMultilevel"/>
    <w:lvl w:ilvl="0">
      <w:lvlJc w:val="left"/>
      <w:lvlText w:val="%1."/>
      <w:numFmt w:val="decimal"/>
      <w:start w:val="2"/>
    </w:lvl>
  </w:abstractNum>
  <w:abstractNum w:abstractNumId="119">
    <w:nsid w:val="2708C9AF"/>
    <w:multiLevelType w:val="hybridMultilevel"/>
    <w:lvl w:ilvl="0">
      <w:lvlJc w:val="left"/>
      <w:lvlText w:val="%1."/>
      <w:numFmt w:val="decimal"/>
      <w:start w:val="16"/>
    </w:lvl>
    <w:lvl w:ilvl="1">
      <w:lvlJc w:val="left"/>
      <w:lvlText w:val="%2."/>
      <w:numFmt w:val="decimal"/>
      <w:start w:val="1"/>
    </w:lvl>
  </w:abstractNum>
  <w:abstractNum w:abstractNumId="120">
    <w:nsid w:val="5B25ACE2"/>
    <w:multiLevelType w:val="hybridMultilevel"/>
    <w:lvl w:ilvl="0">
      <w:lvlJc w:val="left"/>
      <w:lvlText w:val="%1."/>
      <w:numFmt w:val="decimal"/>
      <w:start w:val="4"/>
    </w:lvl>
  </w:abstractNum>
  <w:abstractNum w:abstractNumId="121">
    <w:nsid w:val="175DFCF0"/>
    <w:multiLevelType w:val="hybridMultilevel"/>
    <w:lvl w:ilvl="0">
      <w:lvlJc w:val="left"/>
      <w:lvlText w:val="%1."/>
      <w:numFmt w:val="decimal"/>
      <w:start w:val="6"/>
    </w:lvl>
  </w:abstractNum>
  <w:abstractNum w:abstractNumId="122">
    <w:nsid w:val="4F97E3E4"/>
    <w:multiLevelType w:val="hybridMultilevel"/>
    <w:lvl w:ilvl="0">
      <w:lvlJc w:val="left"/>
      <w:lvlText w:val="1"/>
      <w:numFmt w:val="bullet"/>
      <w:start w:val="1"/>
    </w:lvl>
  </w:abstractNum>
  <w:abstractNum w:abstractNumId="123">
    <w:nsid w:val="53B0A9E"/>
    <w:multiLevelType w:val="hybridMultilevel"/>
    <w:lvl w:ilvl="0">
      <w:lvlJc w:val="left"/>
      <w:lvlText w:val="2"/>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8" Type="http://schemas.openxmlformats.org/officeDocument/2006/relationships/image" Target="media/image19.png"/><Relationship Id="rId29" Type="http://schemas.openxmlformats.org/officeDocument/2006/relationships/image" Target="media/image20.png"/><Relationship Id="rId30" Type="http://schemas.openxmlformats.org/officeDocument/2006/relationships/image" Target="media/image21.png"/><Relationship Id="rId31" Type="http://schemas.openxmlformats.org/officeDocument/2006/relationships/image" Target="media/image22.png"/><Relationship Id="rId32" Type="http://schemas.openxmlformats.org/officeDocument/2006/relationships/image" Target="media/image23.png"/><Relationship Id="rId33" Type="http://schemas.openxmlformats.org/officeDocument/2006/relationships/image" Target="media/image24.png"/><Relationship Id="rId34" Type="http://schemas.openxmlformats.org/officeDocument/2006/relationships/image" Target="media/image25.png"/><Relationship Id="rId35" Type="http://schemas.openxmlformats.org/officeDocument/2006/relationships/image" Target="media/image26.png"/><Relationship Id="rId36" Type="http://schemas.openxmlformats.org/officeDocument/2006/relationships/image" Target="media/image27.png"/><Relationship Id="rId37" Type="http://schemas.openxmlformats.org/officeDocument/2006/relationships/image" Target="media/image28.png"/><Relationship Id="rId38" Type="http://schemas.openxmlformats.org/officeDocument/2006/relationships/image" Target="media/image29.png"/><Relationship Id="rId39" Type="http://schemas.openxmlformats.org/officeDocument/2006/relationships/image" Target="media/image30.png"/><Relationship Id="rId40" Type="http://schemas.openxmlformats.org/officeDocument/2006/relationships/image" Target="media/image31.png"/><Relationship Id="rId41" Type="http://schemas.openxmlformats.org/officeDocument/2006/relationships/image" Target="media/image32.png"/><Relationship Id="rId42" Type="http://schemas.openxmlformats.org/officeDocument/2006/relationships/image" Target="media/image33.png"/><Relationship Id="rId43" Type="http://schemas.openxmlformats.org/officeDocument/2006/relationships/image" Target="media/image34.png"/><Relationship Id="rId44" Type="http://schemas.openxmlformats.org/officeDocument/2006/relationships/image" Target="media/image35.png"/><Relationship Id="rId45" Type="http://schemas.openxmlformats.org/officeDocument/2006/relationships/image" Target="media/image36.png"/><Relationship Id="rId46" Type="http://schemas.openxmlformats.org/officeDocument/2006/relationships/image" Target="media/image37.png"/><Relationship Id="rId47" Type="http://schemas.openxmlformats.org/officeDocument/2006/relationships/image" Target="media/image38.png"/><Relationship Id="rId48" Type="http://schemas.openxmlformats.org/officeDocument/2006/relationships/image" Target="media/image39.png"/><Relationship Id="rId49" Type="http://schemas.openxmlformats.org/officeDocument/2006/relationships/image" Target="media/image40.png"/><Relationship Id="rId50" Type="http://schemas.openxmlformats.org/officeDocument/2006/relationships/image" Target="media/image41.png"/><Relationship Id="rId51" Type="http://schemas.openxmlformats.org/officeDocument/2006/relationships/image" Target="media/image42.png"/><Relationship Id="rId52" Type="http://schemas.openxmlformats.org/officeDocument/2006/relationships/image" Target="media/image43.png"/><Relationship Id="rId53" Type="http://schemas.openxmlformats.org/officeDocument/2006/relationships/image" Target="media/image44.png"/><Relationship Id="rId54" Type="http://schemas.openxmlformats.org/officeDocument/2006/relationships/image" Target="media/image45.png"/><Relationship Id="rId55" Type="http://schemas.openxmlformats.org/officeDocument/2006/relationships/image" Target="media/image46.png"/><Relationship Id="rId56" Type="http://schemas.openxmlformats.org/officeDocument/2006/relationships/image" Target="media/image47.png"/><Relationship Id="rId57" Type="http://schemas.openxmlformats.org/officeDocument/2006/relationships/image" Target="media/image48.png"/><Relationship Id="rId58" Type="http://schemas.openxmlformats.org/officeDocument/2006/relationships/image" Target="media/image49.png"/><Relationship Id="rId59" Type="http://schemas.openxmlformats.org/officeDocument/2006/relationships/image" Target="media/image50.png"/><Relationship Id="rId60" Type="http://schemas.openxmlformats.org/officeDocument/2006/relationships/image" Target="media/image51.png"/><Relationship Id="rId61" Type="http://schemas.openxmlformats.org/officeDocument/2006/relationships/image" Target="media/image52.png"/><Relationship Id="rId62" Type="http://schemas.openxmlformats.org/officeDocument/2006/relationships/image" Target="media/image53.png"/><Relationship Id="rId63" Type="http://schemas.openxmlformats.org/officeDocument/2006/relationships/image" Target="media/image54.png"/><Relationship Id="rId64" Type="http://schemas.openxmlformats.org/officeDocument/2006/relationships/image" Target="media/image55.png"/><Relationship Id="rId65" Type="http://schemas.openxmlformats.org/officeDocument/2006/relationships/image" Target="media/image56.png"/><Relationship Id="rId66" Type="http://schemas.openxmlformats.org/officeDocument/2006/relationships/image" Target="media/image57.png"/><Relationship Id="rId67" Type="http://schemas.openxmlformats.org/officeDocument/2006/relationships/image" Target="media/image58.png"/><Relationship Id="rId68" Type="http://schemas.openxmlformats.org/officeDocument/2006/relationships/image" Target="media/image59.png"/><Relationship Id="rId69" Type="http://schemas.openxmlformats.org/officeDocument/2006/relationships/image" Target="media/image60.png"/><Relationship Id="rId70" Type="http://schemas.openxmlformats.org/officeDocument/2006/relationships/image" Target="media/image61.png"/><Relationship Id="rId71" Type="http://schemas.openxmlformats.org/officeDocument/2006/relationships/image" Target="media/image62.png"/><Relationship Id="rId72" Type="http://schemas.openxmlformats.org/officeDocument/2006/relationships/image" Target="media/image63.png"/><Relationship Id="rId73" Type="http://schemas.openxmlformats.org/officeDocument/2006/relationships/image" Target="media/image64.png"/><Relationship Id="rId74" Type="http://schemas.openxmlformats.org/officeDocument/2006/relationships/image" Target="media/image65.png"/><Relationship Id="rId75" Type="http://schemas.openxmlformats.org/officeDocument/2006/relationships/image" Target="media/image66.png"/><Relationship Id="rId76" Type="http://schemas.openxmlformats.org/officeDocument/2006/relationships/image" Target="media/image67.png"/><Relationship Id="rId77" Type="http://schemas.openxmlformats.org/officeDocument/2006/relationships/image" Target="media/image68.png"/><Relationship Id="rId78" Type="http://schemas.openxmlformats.org/officeDocument/2006/relationships/image" Target="media/image69.png"/><Relationship Id="rId79" Type="http://schemas.openxmlformats.org/officeDocument/2006/relationships/image" Target="media/image70.png"/><Relationship Id="rId80" Type="http://schemas.openxmlformats.org/officeDocument/2006/relationships/image" Target="media/image71.png"/><Relationship Id="rId81" Type="http://schemas.openxmlformats.org/officeDocument/2006/relationships/image" Target="media/image72.png"/><Relationship Id="rId82" Type="http://schemas.openxmlformats.org/officeDocument/2006/relationships/image" Target="media/image73.png"/><Relationship Id="rId83" Type="http://schemas.openxmlformats.org/officeDocument/2006/relationships/image" Target="media/image74.png"/><Relationship Id="rId84" Type="http://schemas.openxmlformats.org/officeDocument/2006/relationships/image" Target="media/image75.png"/><Relationship Id="rId85" Type="http://schemas.openxmlformats.org/officeDocument/2006/relationships/image" Target="media/image76.png"/><Relationship Id="rId86" Type="http://schemas.openxmlformats.org/officeDocument/2006/relationships/image" Target="media/image77.png"/><Relationship Id="rId87" Type="http://schemas.openxmlformats.org/officeDocument/2006/relationships/image" Target="media/image78.png"/><Relationship Id="rId88" Type="http://schemas.openxmlformats.org/officeDocument/2006/relationships/image" Target="media/image79.png"/><Relationship Id="rId89" Type="http://schemas.openxmlformats.org/officeDocument/2006/relationships/image" Target="media/image80.png"/><Relationship Id="rId90" Type="http://schemas.openxmlformats.org/officeDocument/2006/relationships/image" Target="media/image81.png"/><Relationship Id="rId91" Type="http://schemas.openxmlformats.org/officeDocument/2006/relationships/image" Target="media/image82.png"/><Relationship Id="rId92" Type="http://schemas.openxmlformats.org/officeDocument/2006/relationships/image" Target="media/image83.png"/><Relationship Id="rId93" Type="http://schemas.openxmlformats.org/officeDocument/2006/relationships/image" Target="media/image84.png"/><Relationship Id="rId94" Type="http://schemas.openxmlformats.org/officeDocument/2006/relationships/image" Target="media/image85.png"/><Relationship Id="rId95" Type="http://schemas.openxmlformats.org/officeDocument/2006/relationships/image" Target="media/image86.png"/><Relationship Id="rId96" Type="http://schemas.openxmlformats.org/officeDocument/2006/relationships/image" Target="media/image87.png"/><Relationship Id="rId97" Type="http://schemas.openxmlformats.org/officeDocument/2006/relationships/image" Target="media/image88.png"/><Relationship Id="rId98" Type="http://schemas.openxmlformats.org/officeDocument/2006/relationships/image" Target="media/image89.png"/><Relationship Id="rId99" Type="http://schemas.openxmlformats.org/officeDocument/2006/relationships/image" Target="media/image90.png"/><Relationship Id="rId100" Type="http://schemas.openxmlformats.org/officeDocument/2006/relationships/image" Target="media/image91.png"/><Relationship Id="rId101" Type="http://schemas.openxmlformats.org/officeDocument/2006/relationships/image" Target="media/image92.png"/><Relationship Id="rId102" Type="http://schemas.openxmlformats.org/officeDocument/2006/relationships/image" Target="media/image93.png"/><Relationship Id="rId103" Type="http://schemas.openxmlformats.org/officeDocument/2006/relationships/image" Target="media/image94.png"/><Relationship Id="rId104" Type="http://schemas.openxmlformats.org/officeDocument/2006/relationships/image" Target="media/image95.png"/><Relationship Id="rId105" Type="http://schemas.openxmlformats.org/officeDocument/2006/relationships/image" Target="media/image96.png"/><Relationship Id="rId106" Type="http://schemas.openxmlformats.org/officeDocument/2006/relationships/image" Target="media/image97.png"/><Relationship Id="rId107" Type="http://schemas.openxmlformats.org/officeDocument/2006/relationships/image" Target="media/image98.png"/><Relationship Id="rId108" Type="http://schemas.openxmlformats.org/officeDocument/2006/relationships/image" Target="media/image99.png"/><Relationship Id="rId109" Type="http://schemas.openxmlformats.org/officeDocument/2006/relationships/image" Target="media/image100.png"/><Relationship Id="rId110" Type="http://schemas.openxmlformats.org/officeDocument/2006/relationships/image" Target="media/image101.png"/><Relationship Id="rId111" Type="http://schemas.openxmlformats.org/officeDocument/2006/relationships/image" Target="media/image102.png"/><Relationship Id="rId112" Type="http://schemas.openxmlformats.org/officeDocument/2006/relationships/image" Target="media/image103.png"/><Relationship Id="rId113" Type="http://schemas.openxmlformats.org/officeDocument/2006/relationships/image" Target="media/image104.png"/><Relationship Id="rId114" Type="http://schemas.openxmlformats.org/officeDocument/2006/relationships/image" Target="media/image105.png"/><Relationship Id="rId115" Type="http://schemas.openxmlformats.org/officeDocument/2006/relationships/image" Target="media/image106.png"/><Relationship Id="rId116" Type="http://schemas.openxmlformats.org/officeDocument/2006/relationships/image" Target="media/image107.png"/><Relationship Id="rId117" Type="http://schemas.openxmlformats.org/officeDocument/2006/relationships/image" Target="media/image108.png"/><Relationship Id="rId118" Type="http://schemas.openxmlformats.org/officeDocument/2006/relationships/image" Target="media/image109.png"/><Relationship Id="rId119" Type="http://schemas.openxmlformats.org/officeDocument/2006/relationships/image" Target="media/image110.png"/><Relationship Id="rId120" Type="http://schemas.openxmlformats.org/officeDocument/2006/relationships/image" Target="media/image111.png"/><Relationship Id="rId121" Type="http://schemas.openxmlformats.org/officeDocument/2006/relationships/image" Target="media/image112.png"/><Relationship Id="rId122" Type="http://schemas.openxmlformats.org/officeDocument/2006/relationships/image" Target="media/image113.png"/><Relationship Id="rId123" Type="http://schemas.openxmlformats.org/officeDocument/2006/relationships/image" Target="media/image114.png"/><Relationship Id="rId124" Type="http://schemas.openxmlformats.org/officeDocument/2006/relationships/image" Target="media/image115.png"/><Relationship Id="rId125" Type="http://schemas.openxmlformats.org/officeDocument/2006/relationships/image" Target="media/image116.png"/><Relationship Id="rId126" Type="http://schemas.openxmlformats.org/officeDocument/2006/relationships/image" Target="media/image117.png"/><Relationship Id="rId127" Type="http://schemas.openxmlformats.org/officeDocument/2006/relationships/image" Target="media/image118.png"/><Relationship Id="rId128" Type="http://schemas.openxmlformats.org/officeDocument/2006/relationships/image" Target="media/image119.png"/><Relationship Id="rId129" Type="http://schemas.openxmlformats.org/officeDocument/2006/relationships/image" Target="media/image120.png"/><Relationship Id="rId130" Type="http://schemas.openxmlformats.org/officeDocument/2006/relationships/image" Target="media/image121.png"/><Relationship Id="rId131" Type="http://schemas.openxmlformats.org/officeDocument/2006/relationships/image" Target="media/image122.png"/><Relationship Id="rId132" Type="http://schemas.openxmlformats.org/officeDocument/2006/relationships/image" Target="media/image123.png"/><Relationship Id="rId133" Type="http://schemas.openxmlformats.org/officeDocument/2006/relationships/image" Target="media/image124.png"/><Relationship Id="rId134" Type="http://schemas.openxmlformats.org/officeDocument/2006/relationships/image" Target="media/image125.png"/><Relationship Id="rId135" Type="http://schemas.openxmlformats.org/officeDocument/2006/relationships/image" Target="media/image126.png"/><Relationship Id="rId136" Type="http://schemas.openxmlformats.org/officeDocument/2006/relationships/image" Target="media/image127.png"/><Relationship Id="rId137" Type="http://schemas.openxmlformats.org/officeDocument/2006/relationships/image" Target="media/image128.png"/><Relationship Id="rId138" Type="http://schemas.openxmlformats.org/officeDocument/2006/relationships/image" Target="media/image129.png"/><Relationship Id="rId139" Type="http://schemas.openxmlformats.org/officeDocument/2006/relationships/image" Target="media/image130.png"/><Relationship Id="rId140" Type="http://schemas.openxmlformats.org/officeDocument/2006/relationships/image" Target="media/image131.png"/><Relationship Id="rId141" Type="http://schemas.openxmlformats.org/officeDocument/2006/relationships/image" Target="media/image132.png"/><Relationship Id="rId142" Type="http://schemas.openxmlformats.org/officeDocument/2006/relationships/image" Target="media/image133.png"/><Relationship Id="rId143" Type="http://schemas.openxmlformats.org/officeDocument/2006/relationships/image" Target="media/image134.png"/><Relationship Id="rId144" Type="http://schemas.openxmlformats.org/officeDocument/2006/relationships/image" Target="media/image135.png"/><Relationship Id="rId145" Type="http://schemas.openxmlformats.org/officeDocument/2006/relationships/image" Target="media/image136.png"/><Relationship Id="rId146" Type="http://schemas.openxmlformats.org/officeDocument/2006/relationships/image" Target="media/image137.jpeg"/><Relationship Id="rId147" Type="http://schemas.openxmlformats.org/officeDocument/2006/relationships/image" Target="media/image138.png"/><Relationship Id="rId148" Type="http://schemas.openxmlformats.org/officeDocument/2006/relationships/image" Target="media/image139.png"/><Relationship Id="rId149" Type="http://schemas.openxmlformats.org/officeDocument/2006/relationships/image" Target="media/image140.png"/><Relationship Id="rId150" Type="http://schemas.openxmlformats.org/officeDocument/2006/relationships/image" Target="media/image141.png"/><Relationship Id="rId151" Type="http://schemas.openxmlformats.org/officeDocument/2006/relationships/image" Target="media/image142.png"/><Relationship Id="rId152" Type="http://schemas.openxmlformats.org/officeDocument/2006/relationships/image" Target="media/image143.png"/><Relationship Id="rId153" Type="http://schemas.openxmlformats.org/officeDocument/2006/relationships/image" Target="media/image144.png"/><Relationship Id="rId154" Type="http://schemas.openxmlformats.org/officeDocument/2006/relationships/image" Target="media/image145.png"/><Relationship Id="rId155" Type="http://schemas.openxmlformats.org/officeDocument/2006/relationships/image" Target="media/image146.png"/><Relationship Id="rId156" Type="http://schemas.openxmlformats.org/officeDocument/2006/relationships/image" Target="media/image147.png"/><Relationship Id="rId157" Type="http://schemas.openxmlformats.org/officeDocument/2006/relationships/image" Target="media/image148.png"/><Relationship Id="rId158" Type="http://schemas.openxmlformats.org/officeDocument/2006/relationships/image" Target="media/image149.png"/><Relationship Id="rId159" Type="http://schemas.openxmlformats.org/officeDocument/2006/relationships/image" Target="media/image150.png"/><Relationship Id="rId160" Type="http://schemas.openxmlformats.org/officeDocument/2006/relationships/image" Target="media/image151.png"/><Relationship Id="rId161" Type="http://schemas.openxmlformats.org/officeDocument/2006/relationships/image" Target="media/image152.png"/><Relationship Id="rId162" Type="http://schemas.openxmlformats.org/officeDocument/2006/relationships/image" Target="media/image153.png"/><Relationship Id="rId163" Type="http://schemas.openxmlformats.org/officeDocument/2006/relationships/image" Target="media/image154.png"/><Relationship Id="rId164" Type="http://schemas.openxmlformats.org/officeDocument/2006/relationships/image" Target="media/image155.png"/><Relationship Id="rId165" Type="http://schemas.openxmlformats.org/officeDocument/2006/relationships/image" Target="media/image156.png"/><Relationship Id="rId166" Type="http://schemas.openxmlformats.org/officeDocument/2006/relationships/image" Target="media/image157.png"/><Relationship Id="rId167" Type="http://schemas.openxmlformats.org/officeDocument/2006/relationships/image" Target="media/image158.png"/><Relationship Id="rId168" Type="http://schemas.openxmlformats.org/officeDocument/2006/relationships/image" Target="media/image159.png"/><Relationship Id="rId169" Type="http://schemas.openxmlformats.org/officeDocument/2006/relationships/image" Target="media/image160.png"/><Relationship Id="rId170" Type="http://schemas.openxmlformats.org/officeDocument/2006/relationships/image" Target="media/image161.png"/><Relationship Id="rId171" Type="http://schemas.openxmlformats.org/officeDocument/2006/relationships/image" Target="media/image162.png"/><Relationship Id="rId172" Type="http://schemas.openxmlformats.org/officeDocument/2006/relationships/image" Target="media/image163.png"/><Relationship Id="rId173" Type="http://schemas.openxmlformats.org/officeDocument/2006/relationships/image" Target="media/image164.png"/><Relationship Id="rId174" Type="http://schemas.openxmlformats.org/officeDocument/2006/relationships/image" Target="media/image165.png"/><Relationship Id="rId175" Type="http://schemas.openxmlformats.org/officeDocument/2006/relationships/image" Target="media/image166.png"/><Relationship Id="rId176" Type="http://schemas.openxmlformats.org/officeDocument/2006/relationships/image" Target="media/image167.png"/><Relationship Id="rId26" Type="http://schemas.openxmlformats.org/officeDocument/2006/relationships/hyperlink" Target="http://www.sec.gov/ix?doc=/Archives/edgar/data/0001076378/000119312526177605/d120395d20f.htm" TargetMode="External"/><Relationship Id="rId27" Type="http://schemas.openxmlformats.org/officeDocument/2006/relationships/hyperlink" Target="http://www.sec.gov/Archives/edgar/data/1076378/000119312526249559/d109565d6k.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2026-06-01T05:59:18Z</dcterms:created>
  <dcterms:modified xsi:type="dcterms:W3CDTF">2026-06-01T05:59:18Z</dcterms:modified>
</cp:coreProperties>
</file>