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Ramirez Cantu Alejandro Alberto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Cemex SCA&amp;C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7"/>
        <w:gridCol w:w="898"/>
        <w:gridCol w:w="771"/>
        <w:gridCol w:w="596"/>
        <w:gridCol w:w="330"/>
        <w:gridCol w:w="1029"/>
        <w:gridCol w:w="405"/>
        <w:gridCol w:w="727"/>
        <w:gridCol w:w="1261"/>
        <w:gridCol w:w="935"/>
        <w:gridCol w:w="8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265,150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1,753,900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97,900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1,656,000</w:t>
            </w:r>
            <w:r>
              <w:rPr>
                <w:rFonts w:ascii="Times;serif" w:hAnsi="Times;serif"/>
                <w:color w:val="008000"/>
                <w:position w:val="7"/>
                <w:sz w:val="16"/>
                <w:sz w:val="20"/>
                <w:shd w:fill="FFFFFF" w:val="clear"/>
              </w:rPr>
              <w:t>(2)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245,430 Ordinary Participation Certificates corresponding to compensation plan from 2023 vested in favor of the reporting person. Additionally, 19,720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/s/Alejandro Alberto Ramirez Cantu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795"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3696</Characters>
  <CharactersWithSpaces>4278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