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173355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3" w:lineRule="exact"/>
        <w:rPr>
          <w:sz w:val="24"/>
          <w:szCs w:val="24"/>
          <w:color w:val="auto"/>
        </w:rPr>
      </w:pPr>
    </w:p>
    <w:p>
      <w:pPr>
        <w:jc w:val="center"/>
        <w:ind w:left="1160" w:right="1640"/>
        <w:spacing w:after="0" w:line="246" w:lineRule="auto"/>
        <w:rPr>
          <w:sz w:val="20"/>
          <w:szCs w:val="20"/>
          <w:color w:val="auto"/>
        </w:rPr>
      </w:pPr>
      <w:r>
        <w:rPr>
          <w:rFonts w:ascii="Times New Roman" w:cs="Times New Roman" w:eastAsia="Times New Roman" w:hAnsi="Times New Roman"/>
          <w:sz w:val="22"/>
          <w:szCs w:val="22"/>
          <w:b w:val="1"/>
          <w:bCs w:val="1"/>
          <w:color w:val="auto"/>
        </w:rPr>
        <w:t>FOR REGISTRATION OF CERTAIN CLASSES OF SECURITIES PURSUANT TO SECTION 12(b) OR 12(g) OF THE SECURITIES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143510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6"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43"/>
          <w:szCs w:val="43"/>
          <w:b w:val="1"/>
          <w:bCs w:val="1"/>
          <w:color w:val="auto"/>
        </w:rPr>
        <w:t>CEMEX, S.A.B. DE C.V.</w:t>
      </w:r>
    </w:p>
    <w:p>
      <w:pPr>
        <w:spacing w:after="0" w:line="58"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0" w:lineRule="exact"/>
        <w:rPr>
          <w:sz w:val="24"/>
          <w:szCs w:val="24"/>
          <w:color w:val="auto"/>
        </w:rPr>
      </w:pPr>
    </w:p>
    <w:tbl>
      <w:tblPr>
        <w:tblLayout w:type="fixed"/>
        <w:tblInd w:w="920" w:type="dxa"/>
        <w:tblCellMar>
          <w:top w:w="0" w:type="dxa"/>
          <w:left w:w="0" w:type="dxa"/>
          <w:bottom w:w="0" w:type="dxa"/>
          <w:right w:w="0" w:type="dxa"/>
        </w:tblCellMar>
      </w:tblPr>
      <w:tr>
        <w:trPr>
          <w:trHeight w:val="214"/>
        </w:trPr>
        <w:tc>
          <w:tcPr>
            <w:tcW w:w="5020" w:type="dxa"/>
            <w:vAlign w:val="bottom"/>
          </w:tcPr>
          <w:p>
            <w:pPr>
              <w:jc w:val="center"/>
              <w:ind w:right="1216"/>
              <w:spacing w:after="0"/>
              <w:rPr>
                <w:sz w:val="20"/>
                <w:szCs w:val="20"/>
                <w:color w:val="auto"/>
              </w:rPr>
            </w:pPr>
            <w:r>
              <w:rPr>
                <w:rFonts w:ascii="Times New Roman" w:cs="Times New Roman" w:eastAsia="Times New Roman" w:hAnsi="Times New Roman"/>
                <w:sz w:val="18"/>
                <w:szCs w:val="18"/>
                <w:b w:val="1"/>
                <w:bCs w:val="1"/>
                <w:color w:val="auto"/>
                <w:w w:val="99"/>
              </w:rPr>
              <w:t>United Mexican States</w:t>
            </w:r>
          </w:p>
        </w:tc>
        <w:tc>
          <w:tcPr>
            <w:tcW w:w="3500" w:type="dxa"/>
            <w:vAlign w:val="bottom"/>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90"/>
        </w:trPr>
        <w:tc>
          <w:tcPr>
            <w:tcW w:w="5020" w:type="dxa"/>
            <w:vAlign w:val="bottom"/>
          </w:tcPr>
          <w:p>
            <w:pPr>
              <w:jc w:val="center"/>
              <w:ind w:right="1216"/>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500" w:type="dxa"/>
            <w:vAlign w:val="bottom"/>
          </w:tcPr>
          <w:p>
            <w:pPr>
              <w:jc w:val="center"/>
              <w:ind w:left="121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393"/>
        </w:trPr>
        <w:tc>
          <w:tcPr>
            <w:tcW w:w="5020" w:type="dxa"/>
            <w:vAlign w:val="bottom"/>
          </w:tcPr>
          <w:p>
            <w:pPr>
              <w:jc w:val="center"/>
              <w:ind w:right="1236"/>
              <w:spacing w:after="0"/>
              <w:rPr>
                <w:sz w:val="20"/>
                <w:szCs w:val="20"/>
                <w:color w:val="auto"/>
              </w:rPr>
            </w:pPr>
            <w:r>
              <w:rPr>
                <w:rFonts w:ascii="Times New Roman" w:cs="Times New Roman" w:eastAsia="Times New Roman" w:hAnsi="Times New Roman"/>
                <w:sz w:val="18"/>
                <w:szCs w:val="18"/>
                <w:b w:val="1"/>
                <w:bCs w:val="1"/>
                <w:color w:val="auto"/>
                <w:w w:val="99"/>
              </w:rPr>
              <w:t>Avenida Ricardo Margáin Zozaya #325, Colonia</w:t>
            </w:r>
          </w:p>
        </w:tc>
        <w:tc>
          <w:tcPr>
            <w:tcW w:w="3500" w:type="dxa"/>
            <w:vAlign w:val="bottom"/>
          </w:tcPr>
          <w:p>
            <w:pPr>
              <w:spacing w:after="0"/>
              <w:rPr>
                <w:sz w:val="24"/>
                <w:szCs w:val="24"/>
                <w:color w:val="auto"/>
              </w:rPr>
            </w:pPr>
          </w:p>
        </w:tc>
      </w:tr>
      <w:tr>
        <w:trPr>
          <w:trHeight w:val="216"/>
        </w:trPr>
        <w:tc>
          <w:tcPr>
            <w:tcW w:w="5020" w:type="dxa"/>
            <w:vAlign w:val="bottom"/>
          </w:tcPr>
          <w:p>
            <w:pPr>
              <w:jc w:val="center"/>
              <w:ind w:right="1216"/>
              <w:spacing w:after="0"/>
              <w:rPr>
                <w:sz w:val="20"/>
                <w:szCs w:val="20"/>
                <w:color w:val="auto"/>
              </w:rPr>
            </w:pPr>
            <w:r>
              <w:rPr>
                <w:rFonts w:ascii="Times New Roman" w:cs="Times New Roman" w:eastAsia="Times New Roman" w:hAnsi="Times New Roman"/>
                <w:sz w:val="18"/>
                <w:szCs w:val="18"/>
                <w:b w:val="1"/>
                <w:bCs w:val="1"/>
                <w:color w:val="auto"/>
                <w:w w:val="99"/>
              </w:rPr>
              <w:t>Valle del Campestre, San Pedro Garza García,</w:t>
            </w:r>
          </w:p>
        </w:tc>
        <w:tc>
          <w:tcPr>
            <w:tcW w:w="3500" w:type="dxa"/>
            <w:vAlign w:val="bottom"/>
          </w:tcPr>
          <w:p>
            <w:pPr>
              <w:spacing w:after="0"/>
              <w:rPr>
                <w:sz w:val="18"/>
                <w:szCs w:val="18"/>
                <w:color w:val="auto"/>
              </w:rPr>
            </w:pPr>
          </w:p>
        </w:tc>
      </w:tr>
      <w:tr>
        <w:trPr>
          <w:trHeight w:val="227"/>
        </w:trPr>
        <w:tc>
          <w:tcPr>
            <w:tcW w:w="5020" w:type="dxa"/>
            <w:vAlign w:val="bottom"/>
          </w:tcPr>
          <w:p>
            <w:pPr>
              <w:jc w:val="center"/>
              <w:ind w:right="1216"/>
              <w:spacing w:after="0"/>
              <w:rPr>
                <w:sz w:val="20"/>
                <w:szCs w:val="20"/>
                <w:color w:val="auto"/>
              </w:rPr>
            </w:pPr>
            <w:r>
              <w:rPr>
                <w:rFonts w:ascii="Times New Roman" w:cs="Times New Roman" w:eastAsia="Times New Roman" w:hAnsi="Times New Roman"/>
                <w:sz w:val="18"/>
                <w:szCs w:val="18"/>
                <w:b w:val="1"/>
                <w:bCs w:val="1"/>
                <w:color w:val="auto"/>
                <w:w w:val="99"/>
              </w:rPr>
              <w:t>Nuevo León, Mexico</w:t>
            </w:r>
          </w:p>
        </w:tc>
        <w:tc>
          <w:tcPr>
            <w:tcW w:w="3500" w:type="dxa"/>
            <w:vAlign w:val="bottom"/>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w w:val="97"/>
              </w:rPr>
              <w:t>66265</w:t>
            </w:r>
          </w:p>
        </w:tc>
      </w:tr>
      <w:tr>
        <w:trPr>
          <w:trHeight w:val="190"/>
        </w:trPr>
        <w:tc>
          <w:tcPr>
            <w:tcW w:w="5020" w:type="dxa"/>
            <w:vAlign w:val="bottom"/>
          </w:tcPr>
          <w:p>
            <w:pPr>
              <w:jc w:val="center"/>
              <w:ind w:right="123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500" w:type="dxa"/>
            <w:vAlign w:val="bottom"/>
          </w:tcPr>
          <w:p>
            <w:pPr>
              <w:jc w:val="center"/>
              <w:ind w:left="121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135255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3"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43"/>
          <w:szCs w:val="43"/>
          <w:b w:val="1"/>
          <w:bCs w:val="1"/>
          <w:color w:val="auto"/>
        </w:rPr>
        <w:t>CEMEX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181610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tbl>
      <w:tblPr>
        <w:tblLayout w:type="fixed"/>
        <w:tblInd w:w="1420" w:type="dxa"/>
        <w:tblCellMar>
          <w:top w:w="0" w:type="dxa"/>
          <w:left w:w="0" w:type="dxa"/>
          <w:bottom w:w="0" w:type="dxa"/>
          <w:right w:w="0" w:type="dxa"/>
        </w:tblCellMar>
      </w:tblPr>
      <w:tr>
        <w:trPr>
          <w:trHeight w:val="214"/>
        </w:trPr>
        <w:tc>
          <w:tcPr>
            <w:tcW w:w="800" w:type="dxa"/>
            <w:vAlign w:val="bottom"/>
          </w:tcPr>
          <w:p>
            <w:pPr>
              <w:spacing w:after="0"/>
              <w:rPr>
                <w:sz w:val="18"/>
                <w:szCs w:val="18"/>
                <w:color w:val="auto"/>
              </w:rPr>
            </w:pPr>
          </w:p>
        </w:tc>
        <w:tc>
          <w:tcPr>
            <w:tcW w:w="3500" w:type="dxa"/>
            <w:vAlign w:val="bottom"/>
            <w:gridSpan w:val="2"/>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8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b w:val="1"/>
                <w:bCs w:val="1"/>
                <w:color w:val="auto"/>
              </w:rPr>
              <w:t>74-2501935</w:t>
            </w:r>
          </w:p>
        </w:tc>
        <w:tc>
          <w:tcPr>
            <w:tcW w:w="180" w:type="dxa"/>
            <w:vAlign w:val="bottom"/>
          </w:tcPr>
          <w:p>
            <w:pPr>
              <w:spacing w:after="0"/>
              <w:rPr>
                <w:sz w:val="18"/>
                <w:szCs w:val="18"/>
                <w:color w:val="auto"/>
              </w:rPr>
            </w:pPr>
          </w:p>
        </w:tc>
      </w:tr>
      <w:tr>
        <w:trPr>
          <w:trHeight w:val="190"/>
        </w:trPr>
        <w:tc>
          <w:tcPr>
            <w:tcW w:w="4300" w:type="dxa"/>
            <w:vAlign w:val="bottom"/>
            <w:gridSpan w:val="3"/>
          </w:tcPr>
          <w:p>
            <w:pPr>
              <w:jc w:val="center"/>
              <w:ind w:right="158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c>
          <w:tcPr>
            <w:tcW w:w="3660" w:type="dxa"/>
            <w:vAlign w:val="bottom"/>
            <w:gridSpan w:val="3"/>
          </w:tcPr>
          <w:p>
            <w:pPr>
              <w:jc w:val="center"/>
              <w:ind w:left="1497"/>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393"/>
        </w:trPr>
        <w:tc>
          <w:tcPr>
            <w:tcW w:w="4300" w:type="dxa"/>
            <w:vAlign w:val="bottom"/>
            <w:gridSpan w:val="3"/>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8"/>
              </w:rPr>
              <w:t>590 Madison Avenue, 27th Floor</w:t>
            </w:r>
          </w:p>
        </w:tc>
        <w:tc>
          <w:tcPr>
            <w:tcW w:w="1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7"/>
        </w:trPr>
        <w:tc>
          <w:tcPr>
            <w:tcW w:w="4300" w:type="dxa"/>
            <w:vAlign w:val="bottom"/>
            <w:gridSpan w:val="3"/>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480" w:type="dxa"/>
            <w:vAlign w:val="bottom"/>
            <w:gridSpan w:val="2"/>
          </w:tcPr>
          <w:p>
            <w:pPr>
              <w:jc w:val="right"/>
              <w:ind w:right="568"/>
              <w:spacing w:after="0"/>
              <w:rPr>
                <w:sz w:val="20"/>
                <w:szCs w:val="20"/>
                <w:color w:val="auto"/>
              </w:rPr>
            </w:pPr>
            <w:r>
              <w:rPr>
                <w:rFonts w:ascii="Times New Roman" w:cs="Times New Roman" w:eastAsia="Times New Roman" w:hAnsi="Times New Roman"/>
                <w:sz w:val="18"/>
                <w:szCs w:val="18"/>
                <w:b w:val="1"/>
                <w:bCs w:val="1"/>
                <w:color w:val="auto"/>
              </w:rPr>
              <w:t>10022</w:t>
            </w:r>
          </w:p>
        </w:tc>
        <w:tc>
          <w:tcPr>
            <w:tcW w:w="180" w:type="dxa"/>
            <w:vAlign w:val="bottom"/>
          </w:tcPr>
          <w:p>
            <w:pPr>
              <w:spacing w:after="0"/>
              <w:rPr>
                <w:sz w:val="19"/>
                <w:szCs w:val="19"/>
                <w:color w:val="auto"/>
              </w:rPr>
            </w:pPr>
          </w:p>
        </w:tc>
      </w:tr>
      <w:tr>
        <w:trPr>
          <w:trHeight w:val="190"/>
        </w:trPr>
        <w:tc>
          <w:tcPr>
            <w:tcW w:w="4300" w:type="dxa"/>
            <w:vAlign w:val="bottom"/>
            <w:gridSpan w:val="3"/>
          </w:tcPr>
          <w:p>
            <w:pPr>
              <w:jc w:val="center"/>
              <w:ind w:right="16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760" w:type="dxa"/>
            <w:vAlign w:val="bottom"/>
          </w:tcPr>
          <w:p>
            <w:pPr>
              <w:spacing w:after="0"/>
              <w:rPr>
                <w:sz w:val="16"/>
                <w:szCs w:val="16"/>
                <w:color w:val="auto"/>
              </w:rPr>
            </w:pPr>
          </w:p>
        </w:tc>
        <w:tc>
          <w:tcPr>
            <w:tcW w:w="1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15"/>
        </w:trPr>
        <w:tc>
          <w:tcPr>
            <w:tcW w:w="800" w:type="dxa"/>
            <w:vAlign w:val="bottom"/>
          </w:tcPr>
          <w:p>
            <w:pPr>
              <w:spacing w:after="0"/>
              <w:rPr>
                <w:sz w:val="24"/>
                <w:szCs w:val="24"/>
                <w:color w:val="auto"/>
              </w:rPr>
            </w:pPr>
          </w:p>
        </w:tc>
        <w:tc>
          <w:tcPr>
            <w:tcW w:w="7160" w:type="dxa"/>
            <w:vAlign w:val="bottom"/>
            <w:gridSpan w:val="5"/>
          </w:tcPr>
          <w:p>
            <w:pPr>
              <w:ind w:left="880"/>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12(b) of the Act:</w:t>
            </w:r>
          </w:p>
        </w:tc>
      </w:tr>
      <w:tr>
        <w:trPr>
          <w:trHeight w:val="367"/>
        </w:trPr>
        <w:tc>
          <w:tcPr>
            <w:tcW w:w="800" w:type="dxa"/>
            <w:vAlign w:val="bottom"/>
          </w:tcPr>
          <w:p>
            <w:pPr>
              <w:spacing w:after="0"/>
              <w:rPr>
                <w:sz w:val="24"/>
                <w:szCs w:val="24"/>
                <w:color w:val="auto"/>
              </w:rPr>
            </w:pPr>
          </w:p>
        </w:tc>
        <w:tc>
          <w:tcPr>
            <w:tcW w:w="3500" w:type="dxa"/>
            <w:vAlign w:val="bottom"/>
            <w:gridSpan w:val="2"/>
          </w:tcPr>
          <w:p>
            <w:pPr>
              <w:jc w:val="center"/>
              <w:ind w:right="23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60" w:type="dxa"/>
            <w:vAlign w:val="bottom"/>
            <w:gridSpan w:val="3"/>
          </w:tcPr>
          <w:p>
            <w:pPr>
              <w:jc w:val="center"/>
              <w:ind w:left="1497"/>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r>
      <w:tr>
        <w:trPr>
          <w:trHeight w:val="173"/>
        </w:trPr>
        <w:tc>
          <w:tcPr>
            <w:tcW w:w="8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be so registered</w:t>
            </w:r>
          </w:p>
        </w:tc>
        <w:tc>
          <w:tcPr>
            <w:tcW w:w="23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each class is to be registered</w:t>
            </w:r>
          </w:p>
        </w:tc>
        <w:tc>
          <w:tcPr>
            <w:tcW w:w="180" w:type="dxa"/>
            <w:vAlign w:val="bottom"/>
          </w:tcPr>
          <w:p>
            <w:pPr>
              <w:spacing w:after="0"/>
              <w:rPr>
                <w:sz w:val="15"/>
                <w:szCs w:val="15"/>
                <w:color w:val="auto"/>
              </w:rPr>
            </w:pPr>
          </w:p>
        </w:tc>
      </w:tr>
      <w:tr>
        <w:trPr>
          <w:trHeight w:val="232"/>
        </w:trPr>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5.750%</w:t>
            </w:r>
          </w:p>
        </w:tc>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Senior Notes due 2036</w:t>
            </w:r>
          </w:p>
        </w:tc>
        <w:tc>
          <w:tcPr>
            <w:tcW w:w="3480" w:type="dxa"/>
            <w:vAlign w:val="bottom"/>
            <w:gridSpan w:val="2"/>
          </w:tcPr>
          <w:p>
            <w:pPr>
              <w:ind w:left="1600"/>
              <w:spacing w:after="0"/>
              <w:rPr>
                <w:sz w:val="20"/>
                <w:szCs w:val="20"/>
                <w:color w:val="auto"/>
              </w:rPr>
            </w:pPr>
            <w:r>
              <w:rPr>
                <w:rFonts w:ascii="Times New Roman" w:cs="Times New Roman" w:eastAsia="Times New Roman" w:hAnsi="Times New Roman"/>
                <w:sz w:val="18"/>
                <w:szCs w:val="18"/>
                <w:b w:val="1"/>
                <w:bCs w:val="1"/>
                <w:color w:val="auto"/>
                <w:w w:val="90"/>
              </w:rPr>
              <w:t>New York Stock Exchange</w:t>
            </w:r>
          </w:p>
        </w:tc>
        <w:tc>
          <w:tcPr>
            <w:tcW w:w="1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208915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62"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Securities Act registration statement or Regulation A offering statement file number to which this form relates:</w:t>
      </w:r>
    </w:p>
    <w:p>
      <w:pPr>
        <w:spacing w:after="0" w:line="31"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333-296381 and 333-296381-01</w:t>
      </w:r>
    </w:p>
    <w:p>
      <w:pPr>
        <w:spacing w:after="0" w:line="203"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w:t>
      </w:r>
    </w:p>
    <w:p>
      <w:pPr>
        <w:spacing w:after="0" w:line="31" w:lineRule="exact"/>
        <w:rPr>
          <w:sz w:val="24"/>
          <w:szCs w:val="24"/>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280"/>
          </w:cols>
          <w:pgMar w:left="440" w:top="376" w:right="117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REQUIRED IN REGISTRATION STATEMENT</w:t>
      </w:r>
    </w:p>
    <w:p>
      <w:pPr>
        <w:spacing w:after="0" w:line="229"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Cemex, S.A.B. de C.V. (“Cemex”) and Cemex Corp. (the “Guarantor” and, together with Cemex, the “Registrants”) have filed with the Securities and Exchange Commission (the “Commission”) pursuant to Rule 424(b) under the Securities Act of 1933, as amended (the “Securities Act”), a prospectus supplement, dated June 2, 2026 (the “Prospectus Supplement”), and the accompanying prospectus, dated June 1, 2026 (the “Base Prospectus”). The Prospectus Supplement relates to the offering of $1,500,000,000 aggregate principal amount of 5.750% Senior Notes due 2036 (the “Notes”) issued by Cemex. The Notes are fully and unconditionally guaranteed by the Guarantor. The Base Prospectus forms a part of the Registrants’ Registration Statement on Form F-3 (File Nos. 333-296381 and 333-296381-01), filed with the Commission on June 1, 2026.</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Description of Registrant’s Securities to be Registered.</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descriptions under the heading “Description of the Notes” in the Prospectus Supplement and “Description of Debt Securities and Guarantees” in the Base Prospectus are incorporated by reference herein.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Exhibits.</w:t>
      </w:r>
    </w:p>
    <w:p>
      <w:pPr>
        <w:spacing w:after="0" w:line="135" w:lineRule="exact"/>
        <w:rPr>
          <w:sz w:val="20"/>
          <w:szCs w:val="20"/>
          <w:color w:val="auto"/>
        </w:rPr>
      </w:pPr>
    </w:p>
    <w:p>
      <w:pPr>
        <w:ind w:left="540" w:right="80" w:hanging="552"/>
        <w:spacing w:after="0" w:line="266" w:lineRule="auto"/>
        <w:tabs>
          <w:tab w:leader="none" w:pos="5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20">
        <w:r>
          <w:rPr>
            <w:rFonts w:ascii="Times New Roman" w:cs="Times New Roman" w:eastAsia="Times New Roman" w:hAnsi="Times New Roman"/>
            <w:sz w:val="18"/>
            <w:szCs w:val="18"/>
            <w:u w:val="single" w:color="auto"/>
            <w:color w:val="0000EE"/>
          </w:rPr>
          <w:t>Indenture, dated as of June 5, 2026, between Cemex, S.A.B. de C.V., as issuer, and The Bank of New York Mellon, as trustee (incorporated</w:t>
        </w:r>
      </w:hyperlink>
      <w:r>
        <w:rPr>
          <w:rFonts w:ascii="Times New Roman" w:cs="Times New Roman" w:eastAsia="Times New Roman" w:hAnsi="Times New Roman"/>
          <w:sz w:val="18"/>
          <w:szCs w:val="18"/>
          <w:u w:val="single" w:color="auto"/>
          <w:color w:val="0000EE"/>
        </w:rPr>
        <w:t xml:space="preserve"> </w:t>
      </w:r>
      <w:hyperlink r:id="rId20">
        <w:r>
          <w:rPr>
            <w:rFonts w:ascii="Times New Roman" w:cs="Times New Roman" w:eastAsia="Times New Roman" w:hAnsi="Times New Roman"/>
            <w:sz w:val="18"/>
            <w:szCs w:val="18"/>
            <w:u w:val="single" w:color="auto"/>
            <w:color w:val="0000EE"/>
          </w:rPr>
          <w:t>herein by reference to Exhibit 4.1 of Cemex, S.A.B. de C.V.’s Current Report on Form 6-K filed with the Securities and Exchange Commission</w:t>
        </w:r>
      </w:hyperlink>
      <w:r>
        <w:rPr>
          <w:rFonts w:ascii="Times New Roman" w:cs="Times New Roman" w:eastAsia="Times New Roman" w:hAnsi="Times New Roman"/>
          <w:sz w:val="18"/>
          <w:szCs w:val="18"/>
          <w:u w:val="single" w:color="auto"/>
          <w:color w:val="0000EE"/>
        </w:rPr>
        <w:t xml:space="preserve"> </w:t>
      </w:r>
      <w:hyperlink r:id="rId20">
        <w:r>
          <w:rPr>
            <w:rFonts w:ascii="Times New Roman" w:cs="Times New Roman" w:eastAsia="Times New Roman" w:hAnsi="Times New Roman"/>
            <w:sz w:val="18"/>
            <w:szCs w:val="18"/>
            <w:u w:val="single" w:color="auto"/>
            <w:color w:val="0000EE"/>
          </w:rPr>
          <w:t>on June 5, 2026).</w:t>
        </w:r>
      </w:hyperlink>
    </w:p>
    <w:p>
      <w:pPr>
        <w:spacing w:after="0" w:line="68" w:lineRule="exact"/>
        <w:rPr>
          <w:rFonts w:ascii="Times New Roman" w:cs="Times New Roman" w:eastAsia="Times New Roman" w:hAnsi="Times New Roman"/>
          <w:sz w:val="18"/>
          <w:szCs w:val="18"/>
          <w:u w:val="single" w:color="auto"/>
          <w:color w:val="0000EE"/>
        </w:rPr>
      </w:pPr>
    </w:p>
    <w:p>
      <w:pPr>
        <w:ind w:left="540" w:hanging="552"/>
        <w:spacing w:after="0" w:line="266" w:lineRule="auto"/>
        <w:tabs>
          <w:tab w:leader="none" w:pos="5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21">
        <w:r>
          <w:rPr>
            <w:rFonts w:ascii="Times New Roman" w:cs="Times New Roman" w:eastAsia="Times New Roman" w:hAnsi="Times New Roman"/>
            <w:sz w:val="18"/>
            <w:szCs w:val="18"/>
            <w:u w:val="single" w:color="auto"/>
            <w:color w:val="0000EE"/>
          </w:rPr>
          <w:t>First Supplemental Indenture, dated as of June 5, 2026, among Cemex, S.A.B. de C.V., as issuer, Cemex Corp., as guarantor, and The Bank of</w:t>
        </w:r>
      </w:hyperlink>
      <w:r>
        <w:rPr>
          <w:rFonts w:ascii="Times New Roman" w:cs="Times New Roman" w:eastAsia="Times New Roman" w:hAnsi="Times New Roman"/>
          <w:sz w:val="18"/>
          <w:szCs w:val="18"/>
          <w:u w:val="single" w:color="auto"/>
          <w:color w:val="0000EE"/>
        </w:rPr>
        <w:t xml:space="preserve"> </w:t>
      </w:r>
      <w:hyperlink r:id="rId21">
        <w:r>
          <w:rPr>
            <w:rFonts w:ascii="Times New Roman" w:cs="Times New Roman" w:eastAsia="Times New Roman" w:hAnsi="Times New Roman"/>
            <w:sz w:val="18"/>
            <w:szCs w:val="18"/>
            <w:u w:val="single" w:color="auto"/>
            <w:color w:val="0000EE"/>
          </w:rPr>
          <w:t>New York Mellon, as trustee (incorporated herein by reference to Exhibit 4.2 of Cemex, S.A.B. de C.V.’s Current Report on Form 6-K filed with</w:t>
        </w:r>
      </w:hyperlink>
      <w:r>
        <w:rPr>
          <w:rFonts w:ascii="Times New Roman" w:cs="Times New Roman" w:eastAsia="Times New Roman" w:hAnsi="Times New Roman"/>
          <w:sz w:val="18"/>
          <w:szCs w:val="18"/>
          <w:u w:val="single" w:color="auto"/>
          <w:color w:val="0000EE"/>
        </w:rPr>
        <w:t xml:space="preserve"> </w:t>
      </w:r>
      <w:hyperlink r:id="rId21">
        <w:r>
          <w:rPr>
            <w:rFonts w:ascii="Times New Roman" w:cs="Times New Roman" w:eastAsia="Times New Roman" w:hAnsi="Times New Roman"/>
            <w:sz w:val="18"/>
            <w:szCs w:val="18"/>
            <w:u w:val="single" w:color="auto"/>
            <w:color w:val="0000EE"/>
          </w:rPr>
          <w:t>the Securities and Exchange Commission on June 5, 2026).</w:t>
        </w:r>
      </w:hyperlink>
    </w:p>
    <w:p>
      <w:pPr>
        <w:spacing w:after="0" w:line="68" w:lineRule="exact"/>
        <w:rPr>
          <w:rFonts w:ascii="Times New Roman" w:cs="Times New Roman" w:eastAsia="Times New Roman" w:hAnsi="Times New Roman"/>
          <w:sz w:val="18"/>
          <w:szCs w:val="18"/>
          <w:u w:val="single" w:color="auto"/>
          <w:color w:val="0000EE"/>
        </w:rPr>
      </w:pPr>
    </w:p>
    <w:p>
      <w:pPr>
        <w:spacing w:after="0"/>
        <w:tabs>
          <w:tab w:leader="none" w:pos="5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4.3</w:t>
      </w:r>
      <w:r>
        <w:rPr>
          <w:sz w:val="20"/>
          <w:szCs w:val="20"/>
          <w:color w:val="auto"/>
        </w:rPr>
        <w:tab/>
      </w:r>
      <w:hyperlink r:id="rId21">
        <w:r>
          <w:rPr>
            <w:rFonts w:ascii="Times New Roman" w:cs="Times New Roman" w:eastAsia="Times New Roman" w:hAnsi="Times New Roman"/>
            <w:sz w:val="17"/>
            <w:szCs w:val="17"/>
            <w:u w:val="single" w:color="auto"/>
            <w:color w:val="0000EE"/>
          </w:rPr>
          <w:t>Form of 5.750% Senior Notes due 2036 (incorporated herein by reference to Exhibit 4.3 of Cemex, S.A.B. de C.V.’s Current Report on Form</w:t>
        </w:r>
      </w:hyperlink>
    </w:p>
    <w:p>
      <w:pPr>
        <w:spacing w:after="0" w:line="27" w:lineRule="exact"/>
        <w:rPr>
          <w:rFonts w:ascii="Times New Roman" w:cs="Times New Roman" w:eastAsia="Times New Roman" w:hAnsi="Times New Roman"/>
          <w:sz w:val="18"/>
          <w:szCs w:val="18"/>
          <w:u w:val="single" w:color="auto"/>
          <w:color w:val="0000EE"/>
        </w:rPr>
      </w:pPr>
    </w:p>
    <w:p>
      <w:pPr>
        <w:ind w:left="540"/>
        <w:spacing w:after="0"/>
        <w:rPr>
          <w:rFonts w:ascii="Times New Roman" w:cs="Times New Roman" w:eastAsia="Times New Roman" w:hAnsi="Times New Roman"/>
          <w:sz w:val="18"/>
          <w:szCs w:val="18"/>
          <w:u w:val="single" w:color="auto"/>
          <w:color w:val="0000EE"/>
        </w:rPr>
      </w:pPr>
      <w:hyperlink r:id="rId21">
        <w:r>
          <w:rPr>
            <w:rFonts w:ascii="Times New Roman" w:cs="Times New Roman" w:eastAsia="Times New Roman" w:hAnsi="Times New Roman"/>
            <w:sz w:val="18"/>
            <w:szCs w:val="18"/>
            <w:u w:val="single" w:color="auto"/>
            <w:color w:val="0000EE"/>
          </w:rPr>
          <w:t>6-K filed with the Securities and Exchange Commission on June 5, 2026).</w:t>
        </w:r>
      </w:hyperlink>
    </w:p>
    <w:p>
      <w:pPr>
        <w:sectPr>
          <w:pgSz w:w="11900" w:h="16838" w:orient="portrait"/>
          <w:cols w:equalWidth="0" w:num="1">
            <w:col w:w="10960"/>
          </w:cols>
          <w:pgMar w:left="440" w:top="266" w:right="4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80" w:type="dxa"/>
            <w:vAlign w:val="bottom"/>
          </w:tcPr>
          <w:p>
            <w:pPr>
              <w:spacing w:after="0"/>
              <w:rPr>
                <w:sz w:val="19"/>
                <w:szCs w:val="19"/>
                <w:color w:val="auto"/>
              </w:rPr>
            </w:pP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Cemex, S.A.B. de C.V.</w:t>
            </w:r>
          </w:p>
        </w:tc>
      </w:tr>
      <w:tr>
        <w:trPr>
          <w:trHeight w:val="234"/>
        </w:trPr>
        <w:tc>
          <w:tcPr>
            <w:tcW w:w="3480" w:type="dxa"/>
            <w:vAlign w:val="bottom"/>
          </w:tcPr>
          <w:p>
            <w:pPr>
              <w:spacing w:after="0"/>
              <w:rPr>
                <w:sz w:val="20"/>
                <w:szCs w:val="20"/>
                <w:color w:val="auto"/>
              </w:rPr>
            </w:pP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Dated: June 8, 2026</w:t>
            </w: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Maher Al-Haffar</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Maher Al-Haffar</w:t>
            </w:r>
          </w:p>
        </w:tc>
      </w:tr>
      <w:tr>
        <w:trPr>
          <w:trHeight w:val="216"/>
        </w:trPr>
        <w:tc>
          <w:tcPr>
            <w:tcW w:w="3480" w:type="dxa"/>
            <w:vAlign w:val="bottom"/>
          </w:tcPr>
          <w:p>
            <w:pPr>
              <w:spacing w:after="0"/>
              <w:rPr>
                <w:sz w:val="18"/>
                <w:szCs w:val="18"/>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of Finance and Administration and Chief</w:t>
            </w:r>
          </w:p>
        </w:tc>
      </w:tr>
      <w:tr>
        <w:trPr>
          <w:trHeight w:val="234"/>
        </w:trPr>
        <w:tc>
          <w:tcPr>
            <w:tcW w:w="34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Financial Officer</w:t>
            </w:r>
          </w:p>
        </w:tc>
      </w:tr>
      <w:tr>
        <w:trPr>
          <w:trHeight w:val="414"/>
        </w:trPr>
        <w:tc>
          <w:tcPr>
            <w:tcW w:w="3480" w:type="dxa"/>
            <w:vAlign w:val="bottom"/>
          </w:tcPr>
          <w:p>
            <w:pPr>
              <w:spacing w:after="0"/>
              <w:rPr>
                <w:sz w:val="24"/>
                <w:szCs w:val="24"/>
                <w:color w:val="auto"/>
              </w:rPr>
            </w:pP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Cemex Corp.</w:t>
            </w:r>
          </w:p>
        </w:tc>
      </w:tr>
      <w:tr>
        <w:trPr>
          <w:trHeight w:val="234"/>
        </w:trPr>
        <w:tc>
          <w:tcPr>
            <w:tcW w:w="3480" w:type="dxa"/>
            <w:vAlign w:val="bottom"/>
          </w:tcPr>
          <w:p>
            <w:pPr>
              <w:spacing w:after="0"/>
              <w:rPr>
                <w:sz w:val="20"/>
                <w:szCs w:val="20"/>
                <w:color w:val="auto"/>
              </w:rPr>
            </w:pP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Dated: June 8, 2026</w:t>
            </w: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Fernando José Reiter Landa</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Fernando José Reiter Landa</w:t>
            </w:r>
          </w:p>
        </w:tc>
      </w:tr>
      <w:tr>
        <w:trPr>
          <w:trHeight w:val="234"/>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2" Type="http://schemas.openxmlformats.org/officeDocument/2006/relationships/image" Target="media/image13.png"/><Relationship Id="rId20" Type="http://schemas.openxmlformats.org/officeDocument/2006/relationships/hyperlink" Target="http://www.sec.gov/Archives/edgar/data/1076378/000119312526259611/d139221dex41.htm" TargetMode="External"/><Relationship Id="rId21" Type="http://schemas.openxmlformats.org/officeDocument/2006/relationships/hyperlink" Target="http://www.sec.gov/Archives/edgar/data/1076378/000119312526259611/d139221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2026-06-08T16:03:53Z</dcterms:created>
  <dcterms:modified xsi:type="dcterms:W3CDTF">2026-06-08T16:03:53Z</dcterms:modified>
</cp:coreProperties>
</file>