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 Haffar Maher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of Finance and Admin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7"/>
        <w:gridCol w:w="898"/>
        <w:gridCol w:w="771"/>
        <w:gridCol w:w="596"/>
        <w:gridCol w:w="330"/>
        <w:gridCol w:w="1029"/>
        <w:gridCol w:w="405"/>
        <w:gridCol w:w="727"/>
        <w:gridCol w:w="1261"/>
        <w:gridCol w:w="935"/>
        <w:gridCol w:w="8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394,460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6,261,480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203,360</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6,058,120</w:t>
            </w:r>
            <w:r>
              <w:rPr>
                <w:rFonts w:ascii="Times;serif" w:hAnsi="Times;serif"/>
                <w:color w:val="008000"/>
                <w:position w:val="7"/>
                <w:sz w:val="16"/>
                <w:sz w:val="20"/>
                <w:shd w:fill="FFFFFF" w:val="clear"/>
              </w:rPr>
              <w:t>(2)</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384,560 Ordinary Participation Certificates corresponding to compensation plan from 2023 vested in favor of the reporting person. Additionally, 9,900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/s/Maher Al-Haffar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385"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3670</Characters>
  <CharactersWithSpaces>4252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